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4" w:leftChars="210" w:hanging="883" w:hangingChars="2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关于批复甘肃省农垦酒泉离退休工作站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甘肃省农垦集团公司酒泉离退休工作站：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238.60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238.60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238.60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238.60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5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5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766" w:leftChars="210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关于批复甘肃省农垦张掖离退休工作站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甘肃省农垦集团公司张掖离退休工作站：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199.05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199.05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199.05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199.05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660" w:lineRule="exact"/>
        <w:rPr>
          <w:sz w:val="32"/>
          <w:szCs w:val="32"/>
        </w:rPr>
      </w:pPr>
    </w:p>
    <w:p>
      <w:pPr>
        <w:spacing w:line="660" w:lineRule="exact"/>
        <w:rPr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5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766" w:leftChars="210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关于批复甘肃省农垦武威离退休工作站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甘肃省农垦集团公司武威离退休工作站：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227.51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227.51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227.51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227.51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5" w:hanging="1325" w:hangingChars="3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24" w:leftChars="210" w:hanging="883" w:hangingChars="2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关于批复甘肃省农垦平凉离退休工作站</w:t>
      </w: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甘肃省农垦集团公司平凉离退休工作站：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191.46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191.46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191.46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191.46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0" w:firstLineChars="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0" w:firstLineChars="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883" w:firstLineChars="2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关于批复甘肃省酒泉农垦技工学校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442" w:firstLineChars="1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酒泉农垦技工学校：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506.18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506.18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250.61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250.61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442" w:firstLineChars="1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442" w:firstLineChars="1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1767" w:firstLineChars="4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eastAsia="zh-CN"/>
        </w:rPr>
        <w:t>关于批复甘肃农垦职工医院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left="1319" w:leftChars="628" w:firstLine="442" w:firstLineChars="100"/>
        <w:rPr>
          <w:rFonts w:hint="eastAsia" w:ascii="仿宋_GB2312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eastAsia="仿宋_GB2312"/>
          <w:b/>
          <w:bCs/>
          <w:sz w:val="44"/>
          <w:szCs w:val="44"/>
          <w:lang w:val="en-US" w:eastAsia="zh-CN"/>
        </w:rPr>
        <w:t>2017年度部门决算的通知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甘肃农垦职工医院：</w:t>
      </w:r>
    </w:p>
    <w:p>
      <w:pPr>
        <w:pStyle w:val="2"/>
        <w:numPr>
          <w:ilvl w:val="0"/>
          <w:numId w:val="0"/>
        </w:numPr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604.48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604.48</w:t>
      </w:r>
      <w:r>
        <w:rPr>
          <w:rFonts w:hint="eastAsia" w:ascii="仿宋_GB2312" w:eastAsia="仿宋_GB2312"/>
          <w:sz w:val="32"/>
          <w:szCs w:val="32"/>
        </w:rPr>
        <w:t>万元，用事业基金弥补收支差额0.00万元，结余分配0.00万元，年末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2017年度一般公共预算财政拨款收入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340.05</w:t>
      </w:r>
      <w:r>
        <w:rPr>
          <w:rFonts w:hint="eastAsia" w:ascii="仿宋_GB2312" w:eastAsia="仿宋_GB2312"/>
          <w:sz w:val="32"/>
          <w:szCs w:val="32"/>
        </w:rPr>
        <w:t>万元，本年支出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340.05</w:t>
      </w:r>
      <w:r>
        <w:rPr>
          <w:rFonts w:hint="eastAsia" w:ascii="仿宋_GB2312" w:eastAsia="仿宋_GB2312"/>
          <w:sz w:val="32"/>
          <w:szCs w:val="32"/>
        </w:rPr>
        <w:t>万元，年末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结转和结余。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2017年度政府性基金预算财政拨款年初结转和结余0.00万元，本年收入0.00万元，本年支出0.00万元，年末结转和结余0.00万元。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四、核定你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2017年度缴入财政专户0.00万元，收到财政专户核拨收入0.00万元。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应当按照审核意见，进一步加强财务管理，改进预算编制，规范预算执行和会计核算，不断提高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决算信息质量。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、你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应当按照《中华人民共和国预算法》《中华人民共和国政府信息公开条例》《中共中央办公厅 国务院办公厅印发〈关于进一步推进预算公开工作的意见〉的通知》和《国务院办公厅关于印发2018年政务公开工作要点的通知》（国办发〔2018〕23号）等有关要求，切实履行公开责任和义务，积极做好本</w:t>
      </w: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决算公开相关工作，并及时将公开情况反馈。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firstLine="640" w:firstLineChars="2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附件：2017年度决算批复表</w:t>
      </w: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3200" w:firstLineChars="1000"/>
        <w:rPr>
          <w:rFonts w:ascii="仿宋_GB2312" w:eastAsia="仿宋_GB2312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 w:line="660" w:lineRule="exact"/>
        <w:ind w:right="640" w:firstLine="5120" w:firstLineChars="1600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127C6"/>
    <w:rsid w:val="02294B5E"/>
    <w:rsid w:val="2C1127C6"/>
    <w:rsid w:val="2DC64AC8"/>
    <w:rsid w:val="318548A9"/>
    <w:rsid w:val="31FD6C3A"/>
    <w:rsid w:val="4AE249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2018-08-06T08:56:00Z</dcterms:created>
  <dc:creator>Administrator</dc:creator>
  <cp:lastModifiedBy>Administrator</cp:lastModifiedBy>
  <dcterms:modified xsi:type="dcterms:W3CDTF">2018-08-06T10:14:40Z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