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jc w:val="center"/>
        <w:rPr>
          <w:rFonts w:hint="eastAsia" w:ascii="微软雅黑" w:hAnsi="微软雅黑" w:eastAsia="微软雅黑" w:cs="微软雅黑"/>
          <w:b/>
          <w:bCs/>
          <w:i w:val="0"/>
          <w:iCs w:val="0"/>
          <w:caps w:val="0"/>
          <w:color w:val="3C3C3C"/>
          <w:spacing w:val="0"/>
          <w:sz w:val="42"/>
          <w:szCs w:val="42"/>
          <w:shd w:val="clear" w:fill="FFFFFF"/>
        </w:rPr>
      </w:pPr>
      <w:r>
        <w:rPr>
          <w:rFonts w:hint="eastAsia" w:ascii="微软雅黑" w:hAnsi="微软雅黑" w:eastAsia="微软雅黑" w:cs="微软雅黑"/>
          <w:b/>
          <w:bCs/>
          <w:i w:val="0"/>
          <w:iCs w:val="0"/>
          <w:caps w:val="0"/>
          <w:color w:val="3C3C3C"/>
          <w:spacing w:val="0"/>
          <w:sz w:val="42"/>
          <w:szCs w:val="42"/>
          <w:shd w:val="clear" w:fill="FFFFFF"/>
        </w:rPr>
        <w:t>甘肃省农垦集团公司酒泉离退休工作站2021年度部门决算说明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第四部门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酒泉离退休工作站是2005年10月由甘肃省农垦事业管理办公室举办的、经甘肃省事业单位登记局批准设立的全额拨款的事业单位，位于酒泉市南环东路31号，法定代表人：许有军、开办资金4万元，业务范围：负责酒泉离退休人员的日常生活管理与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甘肃省农垦集团公司酒泉离退休站为甘肃省农垦事业办公室所属公益二类直属事业单位。甘肃省农垦集团公司酒泉离退休站实行“一个实体、一套人马、两块牌子”的管理体制，和农垦百安商贸公司合署办公，内设机构由农垦百安商贸公司统一管理，内设综合办公室、财务部等2个部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2021年度部门决算报表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收入支出决算总表</w:t>
      </w:r>
    </w:p>
    <w:tbl>
      <w:tblPr>
        <w:tblStyle w:val="3"/>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1"/>
        <w:gridCol w:w="400"/>
        <w:gridCol w:w="927"/>
        <w:gridCol w:w="2678"/>
        <w:gridCol w:w="572"/>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2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3890"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00"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2"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4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收入决算表</w:t>
      </w:r>
    </w:p>
    <w:tbl>
      <w:tblPr>
        <w:tblStyle w:val="3"/>
        <w:tblW w:w="8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24"/>
        <w:gridCol w:w="824"/>
        <w:gridCol w:w="450"/>
        <w:gridCol w:w="450"/>
        <w:gridCol w:w="451"/>
        <w:gridCol w:w="451"/>
        <w:gridCol w:w="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8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4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4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2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支出决算表</w:t>
      </w:r>
    </w:p>
    <w:tbl>
      <w:tblPr>
        <w:tblStyle w:val="3"/>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47"/>
        <w:gridCol w:w="847"/>
        <w:gridCol w:w="538"/>
        <w:gridCol w:w="538"/>
        <w:gridCol w:w="538"/>
        <w:gridCol w:w="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4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84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4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财政拨款收入支出决算总表</w:t>
      </w:r>
    </w:p>
    <w:tbl>
      <w:tblPr>
        <w:tblStyle w:val="3"/>
        <w:tblW w:w="8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7"/>
        <w:gridCol w:w="381"/>
        <w:gridCol w:w="902"/>
        <w:gridCol w:w="2225"/>
        <w:gridCol w:w="381"/>
        <w:gridCol w:w="923"/>
        <w:gridCol w:w="878"/>
        <w:gridCol w:w="240"/>
        <w:gridCol w:w="142"/>
        <w:gridCol w:w="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 w:type="dxa"/>
          <w:trHeight w:val="310" w:hRule="atLeast"/>
        </w:trPr>
        <w:tc>
          <w:tcPr>
            <w:tcW w:w="3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789"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5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0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225"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23"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2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23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2357"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38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0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25"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38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7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81"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0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25"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81"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一般公共预算财政拨款支出决算表</w:t>
      </w:r>
    </w:p>
    <w:tbl>
      <w:tblPr>
        <w:tblStyle w:val="3"/>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1324"/>
        <w:gridCol w:w="1324"/>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2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7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一般公共预算财政拨款基本支出决算表</w:t>
      </w:r>
    </w:p>
    <w:tbl>
      <w:tblPr>
        <w:tblStyle w:val="3"/>
        <w:tblpPr w:leftFromText="180" w:rightFromText="180" w:vertAnchor="text" w:horzAnchor="page" w:tblpX="1868" w:tblpY="888"/>
        <w:tblOverlap w:val="never"/>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348"/>
        <w:gridCol w:w="884"/>
        <w:gridCol w:w="733"/>
        <w:gridCol w:w="858"/>
        <w:gridCol w:w="625"/>
        <w:gridCol w:w="750"/>
        <w:gridCol w:w="1767"/>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76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5566" w:type="dxa"/>
            <w:gridSpan w:val="6"/>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3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348"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84"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58"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25"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50"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767"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33"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530" w:type="dxa"/>
            <w:vMerge w:val="continue"/>
            <w:tcBorders>
              <w:top w:val="nil"/>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1348"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84"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625"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750"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1767"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26.08</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166.80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878"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192.88</w:t>
            </w:r>
          </w:p>
        </w:tc>
        <w:tc>
          <w:tcPr>
            <w:tcW w:w="4733" w:type="dxa"/>
            <w:gridSpan w:val="5"/>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一般公共预算财政拨款“三公”经费支出决算表</w:t>
      </w:r>
    </w:p>
    <w:tbl>
      <w:tblPr>
        <w:tblStyle w:val="3"/>
        <w:tblW w:w="8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820"/>
        <w:gridCol w:w="654"/>
        <w:gridCol w:w="655"/>
        <w:gridCol w:w="656"/>
        <w:gridCol w:w="683"/>
        <w:gridCol w:w="680"/>
        <w:gridCol w:w="820"/>
        <w:gridCol w:w="655"/>
        <w:gridCol w:w="655"/>
        <w:gridCol w:w="658"/>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147"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4152"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79"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96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68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96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68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79"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5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68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68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79"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8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79" w:type="dxa"/>
            <w:tcBorders>
              <w:top w:val="nil"/>
              <w:left w:val="single" w:color="000000" w:sz="4" w:space="0"/>
              <w:bottom w:val="single" w:color="000000" w:sz="4" w:space="0"/>
              <w:right w:val="single" w:color="000000" w:sz="4"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4"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6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政府性基金预算财政拨款收入支出决算表（本部门没有相关数据，故本表无数据）</w:t>
      </w:r>
    </w:p>
    <w:tbl>
      <w:tblPr>
        <w:tblStyle w:val="3"/>
        <w:tblW w:w="8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2175"/>
        <w:gridCol w:w="928"/>
        <w:gridCol w:w="929"/>
        <w:gridCol w:w="929"/>
        <w:gridCol w:w="929"/>
        <w:gridCol w:w="931"/>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2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789"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175"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3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7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7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75" w:type="dxa"/>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国有资本经营预算财政拨款支出决算表（本部门没有相关数据，故本表无数据）</w:t>
      </w:r>
    </w:p>
    <w:tbl>
      <w:tblPr>
        <w:tblStyle w:val="3"/>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3294"/>
        <w:gridCol w:w="1405"/>
        <w:gridCol w:w="140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21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28"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29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40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28"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9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828"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9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05"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2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294" w:type="dxa"/>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lang w:eastAsia="zh-CN"/>
        </w:rPr>
        <w:t>总收支。202</w:t>
      </w:r>
      <w:r>
        <w:rPr>
          <w:rFonts w:hint="eastAsia" w:ascii="微软雅黑" w:hAnsi="微软雅黑" w:eastAsia="微软雅黑" w:cs="微软雅黑"/>
          <w:i w:val="0"/>
          <w:iCs w:val="0"/>
          <w:caps w:val="0"/>
          <w:color w:val="3C3C3C"/>
          <w:spacing w:val="0"/>
          <w:sz w:val="24"/>
          <w:szCs w:val="24"/>
          <w:shd w:val="clear" w:fill="FFFFFF"/>
          <w:lang w:val="en-US" w:eastAsia="zh-CN"/>
        </w:rPr>
        <w:t>1</w:t>
      </w:r>
      <w:r>
        <w:rPr>
          <w:rFonts w:hint="eastAsia" w:ascii="微软雅黑" w:hAnsi="微软雅黑" w:eastAsia="微软雅黑" w:cs="微软雅黑"/>
          <w:i w:val="0"/>
          <w:iCs w:val="0"/>
          <w:caps w:val="0"/>
          <w:color w:val="3C3C3C"/>
          <w:spacing w:val="0"/>
          <w:sz w:val="24"/>
          <w:szCs w:val="24"/>
          <w:shd w:val="clear" w:fill="FFFFFF"/>
          <w:lang w:eastAsia="zh-CN"/>
        </w:rPr>
        <w:t>年度年初结转和结余0.00万元，本年收入</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lang w:eastAsia="zh-CN"/>
        </w:rPr>
        <w:t>万元，本年支出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lang w:eastAsia="zh-CN"/>
        </w:rPr>
        <w:t>万元，使用非财政拨款结余0.00万元，结余分配0.00万元，年末结转和结余0.00万元。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2021年度收入合计</w:t>
      </w:r>
      <w:r>
        <w:rPr>
          <w:rFonts w:hint="eastAsia" w:ascii="微软雅黑" w:hAnsi="微软雅黑" w:eastAsia="微软雅黑" w:cs="微软雅黑"/>
          <w:i w:val="0"/>
          <w:iCs w:val="0"/>
          <w:caps w:val="0"/>
          <w:color w:val="3C3C3C"/>
          <w:spacing w:val="0"/>
          <w:sz w:val="24"/>
          <w:szCs w:val="24"/>
          <w:shd w:val="clear" w:fill="FFFFFF"/>
          <w:lang w:val="en-US" w:eastAsia="zh-CN"/>
        </w:rPr>
        <w:t>195.33万元</w:t>
      </w:r>
      <w:r>
        <w:rPr>
          <w:rFonts w:hint="eastAsia" w:ascii="微软雅黑" w:hAnsi="微软雅黑" w:eastAsia="微软雅黑" w:cs="微软雅黑"/>
          <w:i w:val="0"/>
          <w:iCs w:val="0"/>
          <w:caps w:val="0"/>
          <w:color w:val="3C3C3C"/>
          <w:spacing w:val="0"/>
          <w:sz w:val="24"/>
          <w:szCs w:val="24"/>
          <w:shd w:val="clear" w:fill="FFFFFF"/>
        </w:rPr>
        <w:t>，其中：</w:t>
      </w:r>
      <w:r>
        <w:rPr>
          <w:rFonts w:hint="eastAsia" w:ascii="微软雅黑" w:hAnsi="微软雅黑" w:eastAsia="微软雅黑" w:cs="微软雅黑"/>
          <w:i w:val="0"/>
          <w:iCs w:val="0"/>
          <w:caps w:val="0"/>
          <w:color w:val="3C3C3C"/>
          <w:spacing w:val="0"/>
          <w:sz w:val="24"/>
          <w:szCs w:val="24"/>
          <w:shd w:val="clear" w:fill="FFFFFF"/>
          <w:lang w:val="en-US" w:eastAsia="zh-CN"/>
        </w:rPr>
        <w:t>基本收入195.33</w:t>
      </w:r>
      <w:r>
        <w:rPr>
          <w:rFonts w:hint="eastAsia" w:ascii="微软雅黑" w:hAnsi="微软雅黑" w:eastAsia="微软雅黑" w:cs="微软雅黑"/>
          <w:i w:val="0"/>
          <w:iCs w:val="0"/>
          <w:caps w:val="0"/>
          <w:color w:val="3C3C3C"/>
          <w:spacing w:val="0"/>
          <w:sz w:val="24"/>
          <w:szCs w:val="24"/>
          <w:shd w:val="clear" w:fill="FFFFFF"/>
        </w:rPr>
        <w:t>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2021年度支出合计</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万元，其中：</w:t>
      </w:r>
      <w:r>
        <w:rPr>
          <w:rFonts w:hint="eastAsia" w:ascii="微软雅黑" w:hAnsi="微软雅黑" w:eastAsia="微软雅黑" w:cs="微软雅黑"/>
          <w:i w:val="0"/>
          <w:iCs w:val="0"/>
          <w:caps w:val="0"/>
          <w:color w:val="3C3C3C"/>
          <w:spacing w:val="0"/>
          <w:sz w:val="24"/>
          <w:szCs w:val="24"/>
          <w:shd w:val="clear" w:fill="FFFFFF"/>
          <w:lang w:val="en-US" w:eastAsia="zh-CN"/>
        </w:rPr>
        <w:t>基本支出195.33</w:t>
      </w:r>
      <w:r>
        <w:rPr>
          <w:rFonts w:hint="eastAsia" w:ascii="微软雅黑" w:hAnsi="微软雅黑" w:eastAsia="微软雅黑" w:cs="微软雅黑"/>
          <w:i w:val="0"/>
          <w:iCs w:val="0"/>
          <w:caps w:val="0"/>
          <w:color w:val="3C3C3C"/>
          <w:spacing w:val="0"/>
          <w:sz w:val="24"/>
          <w:szCs w:val="24"/>
          <w:shd w:val="clear" w:fill="FFFFFF"/>
        </w:rPr>
        <w:t>万元，占</w:t>
      </w:r>
      <w:r>
        <w:rPr>
          <w:rFonts w:hint="eastAsia" w:ascii="微软雅黑" w:hAnsi="微软雅黑" w:eastAsia="微软雅黑" w:cs="微软雅黑"/>
          <w:i w:val="0"/>
          <w:iCs w:val="0"/>
          <w:caps w:val="0"/>
          <w:color w:val="3C3C3C"/>
          <w:spacing w:val="0"/>
          <w:sz w:val="24"/>
          <w:szCs w:val="24"/>
          <w:shd w:val="clear" w:fill="FFFFFF"/>
          <w:lang w:val="en-US" w:eastAsia="zh-CN"/>
        </w:rPr>
        <w:t>100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2021年度财政拨款收、支总计</w:t>
      </w:r>
      <w:r>
        <w:rPr>
          <w:rFonts w:hint="eastAsia" w:ascii="微软雅黑" w:hAnsi="微软雅黑" w:eastAsia="微软雅黑" w:cs="微软雅黑"/>
          <w:i w:val="0"/>
          <w:iCs w:val="0"/>
          <w:caps w:val="0"/>
          <w:color w:val="3C3C3C"/>
          <w:spacing w:val="0"/>
          <w:sz w:val="24"/>
          <w:szCs w:val="24"/>
          <w:shd w:val="clear" w:fill="FFFFFF"/>
          <w:lang w:val="en-US" w:eastAsia="zh-CN"/>
        </w:rPr>
        <w:t>390.66</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主要原因是2021年由省直部门安排给农垦的农林水类资金增加，其中：2021年</w:t>
      </w:r>
      <w:r>
        <w:rPr>
          <w:rFonts w:hint="eastAsia" w:ascii="微软雅黑" w:hAnsi="微软雅黑" w:eastAsia="微软雅黑" w:cs="微软雅黑"/>
          <w:i w:val="0"/>
          <w:iCs w:val="0"/>
          <w:caps w:val="0"/>
          <w:color w:val="3C3C3C"/>
          <w:spacing w:val="0"/>
          <w:sz w:val="24"/>
          <w:szCs w:val="24"/>
          <w:shd w:val="clear" w:fill="FFFFFF"/>
          <w:lang w:val="en-US" w:eastAsia="zh-CN"/>
        </w:rPr>
        <w:t>农林水支出20.83</w:t>
      </w:r>
      <w:r>
        <w:rPr>
          <w:rFonts w:hint="eastAsia" w:ascii="微软雅黑" w:hAnsi="微软雅黑" w:eastAsia="微软雅黑" w:cs="微软雅黑"/>
          <w:i w:val="0"/>
          <w:iCs w:val="0"/>
          <w:caps w:val="0"/>
          <w:color w:val="3C3C3C"/>
          <w:spacing w:val="0"/>
          <w:sz w:val="24"/>
          <w:szCs w:val="24"/>
          <w:shd w:val="clear" w:fill="FFFFFF"/>
        </w:rPr>
        <w:t>万元；社会保障和就业支出</w:t>
      </w:r>
      <w:r>
        <w:rPr>
          <w:rFonts w:hint="eastAsia" w:ascii="微软雅黑" w:hAnsi="微软雅黑" w:eastAsia="微软雅黑" w:cs="微软雅黑"/>
          <w:i w:val="0"/>
          <w:iCs w:val="0"/>
          <w:caps w:val="0"/>
          <w:color w:val="3C3C3C"/>
          <w:spacing w:val="0"/>
          <w:sz w:val="24"/>
          <w:szCs w:val="24"/>
          <w:shd w:val="clear" w:fill="FFFFFF"/>
          <w:lang w:val="en-US" w:eastAsia="zh-CN"/>
        </w:rPr>
        <w:t>152.20万元；卫生健康支出20.59万元，住房保障支出1.71万元。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lang w:val="en-US" w:eastAsia="zh-CN"/>
        </w:rPr>
        <w:t>五、</w:t>
      </w:r>
      <w:r>
        <w:rPr>
          <w:rStyle w:val="5"/>
          <w:rFonts w:hint="eastAsia" w:ascii="微软雅黑" w:hAnsi="微软雅黑" w:eastAsia="微软雅黑" w:cs="微软雅黑"/>
          <w:i w:val="0"/>
          <w:iCs w:val="0"/>
          <w:caps w:val="0"/>
          <w:color w:val="3C3C3C"/>
          <w:spacing w:val="0"/>
          <w:sz w:val="24"/>
          <w:szCs w:val="24"/>
          <w:shd w:val="clear" w:fill="FFFFFF"/>
        </w:rPr>
        <w:t>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2021年度一般公共财政拨款支出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万元，占本年支出的100%，主要用于以下几个方面：社会保障和就业支出</w:t>
      </w:r>
      <w:r>
        <w:rPr>
          <w:rFonts w:hint="eastAsia" w:ascii="微软雅黑" w:hAnsi="微软雅黑" w:eastAsia="微软雅黑" w:cs="微软雅黑"/>
          <w:i w:val="0"/>
          <w:iCs w:val="0"/>
          <w:caps w:val="0"/>
          <w:color w:val="3C3C3C"/>
          <w:spacing w:val="0"/>
          <w:sz w:val="24"/>
          <w:szCs w:val="24"/>
          <w:shd w:val="clear" w:fill="FFFFFF"/>
          <w:lang w:val="en-US" w:eastAsia="zh-CN"/>
        </w:rPr>
        <w:t>152.20万元；</w:t>
      </w:r>
      <w:r>
        <w:rPr>
          <w:rFonts w:hint="eastAsia" w:ascii="微软雅黑" w:hAnsi="微软雅黑" w:eastAsia="微软雅黑" w:cs="微软雅黑"/>
          <w:i w:val="0"/>
          <w:iCs w:val="0"/>
          <w:caps w:val="0"/>
          <w:color w:val="3C3C3C"/>
          <w:spacing w:val="0"/>
          <w:sz w:val="24"/>
          <w:szCs w:val="24"/>
          <w:shd w:val="clear" w:fill="FFFFFF"/>
        </w:rPr>
        <w:t>支出决算为</w:t>
      </w:r>
      <w:r>
        <w:rPr>
          <w:rFonts w:hint="eastAsia" w:ascii="微软雅黑" w:hAnsi="微软雅黑" w:eastAsia="微软雅黑" w:cs="微软雅黑"/>
          <w:i w:val="0"/>
          <w:iCs w:val="0"/>
          <w:caps w:val="0"/>
          <w:color w:val="3C3C3C"/>
          <w:spacing w:val="0"/>
          <w:sz w:val="24"/>
          <w:szCs w:val="24"/>
          <w:shd w:val="clear" w:fill="FFFFFF"/>
          <w:lang w:val="en-US" w:eastAsia="zh-CN"/>
        </w:rPr>
        <w:t>20.59</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农林水支出支出决算为</w:t>
      </w:r>
      <w:r>
        <w:rPr>
          <w:rFonts w:hint="eastAsia" w:ascii="微软雅黑" w:hAnsi="微软雅黑" w:eastAsia="微软雅黑" w:cs="微软雅黑"/>
          <w:i w:val="0"/>
          <w:iCs w:val="0"/>
          <w:caps w:val="0"/>
          <w:color w:val="3C3C3C"/>
          <w:spacing w:val="0"/>
          <w:sz w:val="24"/>
          <w:szCs w:val="24"/>
          <w:shd w:val="clear" w:fill="FFFFFF"/>
          <w:lang w:val="en-US" w:eastAsia="zh-CN"/>
        </w:rPr>
        <w:t>20.83</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住房保障支出年初预算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1.71</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2021年度一般公共预算财政拨款基本支出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万元。其中：人员经费</w:t>
      </w:r>
      <w:r>
        <w:rPr>
          <w:rFonts w:hint="eastAsia" w:ascii="微软雅黑" w:hAnsi="微软雅黑" w:eastAsia="微软雅黑" w:cs="微软雅黑"/>
          <w:i w:val="0"/>
          <w:iCs w:val="0"/>
          <w:caps w:val="0"/>
          <w:color w:val="3C3C3C"/>
          <w:spacing w:val="0"/>
          <w:sz w:val="24"/>
          <w:szCs w:val="24"/>
          <w:shd w:val="clear" w:fill="FFFFFF"/>
          <w:lang w:val="en-US" w:eastAsia="zh-CN"/>
        </w:rPr>
        <w:t>192.88</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43.52</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18.41</w:t>
      </w:r>
      <w:r>
        <w:rPr>
          <w:rFonts w:hint="eastAsia" w:ascii="微软雅黑" w:hAnsi="微软雅黑" w:eastAsia="微软雅黑" w:cs="微软雅黑"/>
          <w:i w:val="0"/>
          <w:iCs w:val="0"/>
          <w:caps w:val="0"/>
          <w:color w:val="3C3C3C"/>
          <w:spacing w:val="0"/>
          <w:sz w:val="24"/>
          <w:szCs w:val="24"/>
          <w:shd w:val="clear" w:fill="FFFFFF"/>
        </w:rPr>
        <w:t>%，主要原因是人员减少，导致基本支出减少。人员经费用途主要包括在职人员工资福利支出、离退休人员工资、津贴补贴、各类社会保险等。公用经费</w:t>
      </w:r>
      <w:r>
        <w:rPr>
          <w:rFonts w:hint="eastAsia" w:ascii="微软雅黑" w:hAnsi="微软雅黑" w:eastAsia="微软雅黑" w:cs="微软雅黑"/>
          <w:i w:val="0"/>
          <w:iCs w:val="0"/>
          <w:caps w:val="0"/>
          <w:color w:val="3C3C3C"/>
          <w:spacing w:val="0"/>
          <w:sz w:val="24"/>
          <w:szCs w:val="24"/>
          <w:shd w:val="clear" w:fill="FFFFFF"/>
          <w:lang w:val="en-US" w:eastAsia="zh-CN"/>
        </w:rPr>
        <w:t>2.45</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0.97</w:t>
      </w:r>
      <w:r>
        <w:rPr>
          <w:rFonts w:hint="eastAsia" w:ascii="微软雅黑" w:hAnsi="微软雅黑" w:eastAsia="微软雅黑" w:cs="微软雅黑"/>
          <w:i w:val="0"/>
          <w:iCs w:val="0"/>
          <w:caps w:val="0"/>
          <w:color w:val="3C3C3C"/>
          <w:spacing w:val="0"/>
          <w:sz w:val="24"/>
          <w:szCs w:val="24"/>
          <w:shd w:val="clear" w:fill="FFFFFF"/>
        </w:rPr>
        <w:t>万元，主要原因是本部门属于改制单位，编办再不核编，在职人员实行“只出不进”的原则，公用经费预算较2020年减少，同时部门严格落实“过紧日子”的相关规定，压降费用支出。公用经费用途主要包括办公费、印刷费、咨询费、手续费、水费、电费、物业费、邮电费、差旅费等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2021年度“三公”经费年初预算数为</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万元，支出决算</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w:t>
      </w:r>
      <w:r>
        <w:rPr>
          <w:rFonts w:hint="eastAsia" w:ascii="微软雅黑" w:hAnsi="微软雅黑" w:eastAsia="微软雅黑" w:cs="微软雅黑"/>
          <w:i w:val="0"/>
          <w:iCs w:val="0"/>
          <w:caps w:val="0"/>
          <w:color w:val="auto"/>
          <w:spacing w:val="0"/>
          <w:sz w:val="24"/>
          <w:szCs w:val="24"/>
          <w:shd w:val="clear" w:fill="FFFFFF"/>
        </w:rPr>
        <w:t>较上年支出数下降0.</w:t>
      </w:r>
      <w:r>
        <w:rPr>
          <w:rFonts w:hint="eastAsia" w:ascii="微软雅黑" w:hAnsi="微软雅黑" w:eastAsia="微软雅黑" w:cs="微软雅黑"/>
          <w:i w:val="0"/>
          <w:iCs w:val="0"/>
          <w:caps w:val="0"/>
          <w:color w:val="auto"/>
          <w:spacing w:val="0"/>
          <w:sz w:val="24"/>
          <w:szCs w:val="24"/>
          <w:shd w:val="clear" w:fill="FFFFFF"/>
          <w:lang w:val="en-US" w:eastAsia="zh-CN"/>
        </w:rPr>
        <w:t>14</w:t>
      </w:r>
      <w:r>
        <w:rPr>
          <w:rFonts w:hint="eastAsia" w:ascii="微软雅黑" w:hAnsi="微软雅黑" w:eastAsia="微软雅黑" w:cs="微软雅黑"/>
          <w:i w:val="0"/>
          <w:iCs w:val="0"/>
          <w:caps w:val="0"/>
          <w:color w:val="auto"/>
          <w:spacing w:val="0"/>
          <w:sz w:val="24"/>
          <w:szCs w:val="24"/>
          <w:shd w:val="clear" w:fill="FFFFFF"/>
        </w:rPr>
        <w:t>万元，下降</w:t>
      </w:r>
      <w:r>
        <w:rPr>
          <w:rFonts w:hint="eastAsia" w:ascii="微软雅黑" w:hAnsi="微软雅黑" w:eastAsia="微软雅黑" w:cs="微软雅黑"/>
          <w:i w:val="0"/>
          <w:iCs w:val="0"/>
          <w:caps w:val="0"/>
          <w:color w:val="auto"/>
          <w:spacing w:val="0"/>
          <w:sz w:val="24"/>
          <w:szCs w:val="24"/>
          <w:shd w:val="clear" w:fill="FFFFFF"/>
          <w:lang w:val="en-US" w:eastAsia="zh-CN"/>
        </w:rPr>
        <w:t>87.53</w:t>
      </w:r>
      <w:r>
        <w:rPr>
          <w:rFonts w:hint="eastAsia" w:ascii="微软雅黑" w:hAnsi="微软雅黑" w:eastAsia="微软雅黑" w:cs="微软雅黑"/>
          <w:i w:val="0"/>
          <w:iCs w:val="0"/>
          <w:caps w:val="0"/>
          <w:color w:val="auto"/>
          <w:spacing w:val="0"/>
          <w:sz w:val="24"/>
          <w:szCs w:val="24"/>
          <w:shd w:val="clear" w:fill="FFFFFF"/>
        </w:rPr>
        <w:t>%，主要原因是严格按照省委省政府的相关规定执行，本着严格控制、厉行节约的原则，公务接待费支出下降</w:t>
      </w:r>
      <w:r>
        <w:rPr>
          <w:rFonts w:hint="eastAsia" w:ascii="微软雅黑" w:hAnsi="微软雅黑" w:eastAsia="微软雅黑" w:cs="微软雅黑"/>
          <w:i w:val="0"/>
          <w:iCs w:val="0"/>
          <w:caps w:val="0"/>
          <w:color w:val="auto"/>
          <w:spacing w:val="0"/>
          <w:sz w:val="24"/>
          <w:szCs w:val="24"/>
          <w:shd w:val="clear" w:fill="FFFFFF"/>
          <w:lang w:val="en-US" w:eastAsia="zh-CN"/>
        </w:rPr>
        <w:t>87.53</w:t>
      </w:r>
      <w:r>
        <w:rPr>
          <w:rFonts w:hint="eastAsia" w:ascii="微软雅黑" w:hAnsi="微软雅黑" w:eastAsia="微软雅黑" w:cs="微软雅黑"/>
          <w:i w:val="0"/>
          <w:iCs w:val="0"/>
          <w:caps w:val="0"/>
          <w:color w:val="auto"/>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1、因公出国（境）费用年初预算0.00万元，支出决算数为0.00万元。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2、公务用车购置费和公务用车运行维护费年初预算0.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万元，较年初预算数无变化。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其中：公务用车购置费年初预算0.00万元，支出决算0.00万元。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公务用车运行维护费年初预算数为0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万元，完成年初预算的100%。主要用于机要文件交换、市内因公出行等工作所需车辆的燃料费、维修费、过桥过路费等，主要原因是坚持严格控制、厉行节约。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0000FF"/>
          <w:spacing w:val="0"/>
          <w:sz w:val="24"/>
          <w:szCs w:val="24"/>
        </w:rPr>
      </w:pPr>
      <w:r>
        <w:rPr>
          <w:rFonts w:hint="eastAsia" w:ascii="微软雅黑" w:hAnsi="微软雅黑" w:eastAsia="微软雅黑" w:cs="微软雅黑"/>
          <w:i w:val="0"/>
          <w:iCs w:val="0"/>
          <w:caps w:val="0"/>
          <w:color w:val="3C3C3C"/>
          <w:spacing w:val="0"/>
          <w:sz w:val="24"/>
          <w:szCs w:val="24"/>
          <w:shd w:val="clear" w:fill="FFFFFF"/>
        </w:rPr>
        <w:t>3、公务接待费年初预算</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万元，完成年初预算的100%，较年初预算数无变化。主要是上级部门及省外其他垦区来甘肃垦区调研、交流学习等接待方面的支出。较上年支出数减少0.1</w:t>
      </w:r>
      <w:r>
        <w:rPr>
          <w:rFonts w:hint="eastAsia" w:ascii="微软雅黑" w:hAnsi="微软雅黑" w:eastAsia="微软雅黑" w:cs="微软雅黑"/>
          <w:i w:val="0"/>
          <w:iCs w:val="0"/>
          <w:caps w:val="0"/>
          <w:color w:val="3C3C3C"/>
          <w:spacing w:val="0"/>
          <w:sz w:val="24"/>
          <w:szCs w:val="24"/>
          <w:shd w:val="clear" w:fill="FFFFFF"/>
          <w:lang w:val="en-US" w:eastAsia="zh-CN"/>
        </w:rPr>
        <w:t>6</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87.53</w:t>
      </w:r>
      <w:r>
        <w:rPr>
          <w:rFonts w:hint="eastAsia" w:ascii="微软雅黑" w:hAnsi="微软雅黑" w:eastAsia="微软雅黑" w:cs="微软雅黑"/>
          <w:i w:val="0"/>
          <w:iCs w:val="0"/>
          <w:caps w:val="0"/>
          <w:color w:val="3C3C3C"/>
          <w:spacing w:val="0"/>
          <w:sz w:val="24"/>
          <w:szCs w:val="24"/>
          <w:shd w:val="clear" w:fill="FFFFFF"/>
        </w:rPr>
        <w:t>%，主要原因是严格按照八项规定的要求，坚持严格控制、厉行节约。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2021年度本部门因公出国（境）共计0个团组，0人；公务用车购置0辆，公务车保有量</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辆；国内外事接待国内外事接待</w:t>
      </w:r>
      <w:r>
        <w:rPr>
          <w:rFonts w:hint="eastAsia" w:ascii="微软雅黑" w:hAnsi="微软雅黑" w:eastAsia="微软雅黑" w:cs="微软雅黑"/>
          <w:i w:val="0"/>
          <w:iCs w:val="0"/>
          <w:caps w:val="0"/>
          <w:color w:val="3C3C3C"/>
          <w:spacing w:val="0"/>
          <w:sz w:val="24"/>
          <w:szCs w:val="24"/>
          <w:shd w:val="clear" w:fill="FFFFFF"/>
          <w:lang w:val="en-US" w:eastAsia="zh-CN"/>
        </w:rPr>
        <w:t>1</w:t>
      </w:r>
      <w:r>
        <w:rPr>
          <w:rFonts w:hint="eastAsia" w:ascii="微软雅黑" w:hAnsi="微软雅黑" w:eastAsia="微软雅黑" w:cs="微软雅黑"/>
          <w:i w:val="0"/>
          <w:iCs w:val="0"/>
          <w:caps w:val="0"/>
          <w:color w:val="3C3C3C"/>
          <w:spacing w:val="0"/>
          <w:sz w:val="24"/>
          <w:szCs w:val="24"/>
          <w:shd w:val="clear" w:fill="FFFFFF"/>
        </w:rPr>
        <w:t>批次，</w:t>
      </w:r>
      <w:r>
        <w:rPr>
          <w:rFonts w:hint="eastAsia" w:ascii="微软雅黑" w:hAnsi="微软雅黑" w:eastAsia="微软雅黑" w:cs="微软雅黑"/>
          <w:i w:val="0"/>
          <w:iCs w:val="0"/>
          <w:caps w:val="0"/>
          <w:color w:val="3C3C3C"/>
          <w:spacing w:val="0"/>
          <w:sz w:val="24"/>
          <w:szCs w:val="24"/>
          <w:shd w:val="clear" w:fill="FFFFFF"/>
          <w:lang w:val="en-US" w:eastAsia="zh-CN"/>
        </w:rPr>
        <w:t>4</w:t>
      </w:r>
      <w:r>
        <w:rPr>
          <w:rFonts w:hint="eastAsia" w:ascii="微软雅黑" w:hAnsi="微软雅黑" w:eastAsia="微软雅黑" w:cs="微软雅黑"/>
          <w:i w:val="0"/>
          <w:iCs w:val="0"/>
          <w:caps w:val="0"/>
          <w:color w:val="3C3C3C"/>
          <w:spacing w:val="0"/>
          <w:sz w:val="24"/>
          <w:szCs w:val="24"/>
          <w:shd w:val="clear" w:fill="FFFFFF"/>
        </w:rPr>
        <w:t>人；国（境）外公务接待0批次，0人。</w:t>
      </w:r>
      <w:bookmarkStart w:id="0" w:name="_GoBack"/>
      <w:bookmarkEnd w:id="0"/>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无机关运行经费支出</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lang w:val="en-US" w:eastAsia="zh-CN"/>
        </w:rPr>
        <w:t>无政府采购支出</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无国有资产占用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无政府性基金收入，也没有使用政府性基金安排的支出。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lang w:val="en-US" w:eastAsia="zh-CN"/>
        </w:rPr>
        <w:t>无</w:t>
      </w:r>
      <w:r>
        <w:rPr>
          <w:rFonts w:hint="eastAsia" w:ascii="微软雅黑" w:hAnsi="微软雅黑" w:eastAsia="微软雅黑" w:cs="微软雅黑"/>
          <w:i w:val="0"/>
          <w:iCs w:val="0"/>
          <w:caps w:val="0"/>
          <w:color w:val="3C3C3C"/>
          <w:spacing w:val="0"/>
          <w:sz w:val="24"/>
          <w:szCs w:val="24"/>
          <w:shd w:val="clear" w:fill="FFFFFF"/>
        </w:rPr>
        <w:t>使用国有资本经营预算安排的支出。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（1）绩效管理评价工作开展情况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根据预算绩效管理要求，本部门2021年度预算绩效整体评级为“良好”，各项指标均按照年初计划实施完成，基本支出全部用于农垦系统事业身份在职和离退休人员养老金、津补贴等经费支出，为做好农垦系统事业人员管理工作提供了资金保障，确保农垦事业稳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（2）部门决算中项目绩效自评结果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我部门今年在省级部门决算中反映 “欠发达国有农场巩固提升项目”和“国有农场税费改革”项目绩效自评结果。项目支出绩效情况较为理想，均达到了项目申请时设定的各项绩效目标，各项工作有序开展；项目业务管理制度较完善，业务监控有效性较好；财务管理制度规范，建立了相应的财务监控措施和手段，任务完成质量较高、效果完成情况较好。存在的问题是个别项目初验不合格，导致与年初设置绩效目标有偏差；下一步改进措施是加大项目监督检查力度，确保项目过程资料齐全、项目按进度完工，并完成竣工验收和绩效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（3）财政评价项目绩效评价结果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经财政厅审核，本部门2021年度“国有农场税费改革项目”绩效评级为“优秀”，“欠发达国有农场巩固提升项目”绩效评级为“良好”。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（4）部门评价项目绩效评价结果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本部门无评价项目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一、财政拨款收入：</w:t>
      </w:r>
      <w:r>
        <w:rPr>
          <w:rFonts w:hint="eastAsia" w:ascii="微软雅黑" w:hAnsi="微软雅黑" w:eastAsia="微软雅黑" w:cs="微软雅黑"/>
          <w:i w:val="0"/>
          <w:iCs w:val="0"/>
          <w:caps w:val="0"/>
          <w:color w:val="3C3C3C"/>
          <w:spacing w:val="0"/>
          <w:sz w:val="24"/>
          <w:szCs w:val="24"/>
          <w:shd w:val="clear" w:fill="FFFFFF"/>
        </w:rPr>
        <w:t>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二、事业收入：</w:t>
      </w:r>
      <w:r>
        <w:rPr>
          <w:rFonts w:hint="eastAsia" w:ascii="微软雅黑" w:hAnsi="微软雅黑" w:eastAsia="微软雅黑" w:cs="微软雅黑"/>
          <w:i w:val="0"/>
          <w:iCs w:val="0"/>
          <w:caps w:val="0"/>
          <w:color w:val="3C3C3C"/>
          <w:spacing w:val="0"/>
          <w:sz w:val="24"/>
          <w:szCs w:val="24"/>
          <w:shd w:val="clear" w:fill="FFFFFF"/>
        </w:rPr>
        <w:t>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三、经营收入：</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四、其他收入：</w:t>
      </w:r>
      <w:r>
        <w:rPr>
          <w:rFonts w:hint="eastAsia" w:ascii="微软雅黑" w:hAnsi="微软雅黑" w:eastAsia="微软雅黑" w:cs="微软雅黑"/>
          <w:i w:val="0"/>
          <w:iCs w:val="0"/>
          <w:caps w:val="0"/>
          <w:color w:val="3C3C3C"/>
          <w:spacing w:val="0"/>
          <w:sz w:val="24"/>
          <w:szCs w:val="24"/>
          <w:shd w:val="clear"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五、年初结转和结余：</w:t>
      </w:r>
      <w:r>
        <w:rPr>
          <w:rFonts w:hint="eastAsia" w:ascii="微软雅黑" w:hAnsi="微软雅黑" w:eastAsia="微软雅黑" w:cs="微软雅黑"/>
          <w:i w:val="0"/>
          <w:iCs w:val="0"/>
          <w:caps w:val="0"/>
          <w:color w:val="3C3C3C"/>
          <w:spacing w:val="0"/>
          <w:sz w:val="24"/>
          <w:szCs w:val="24"/>
          <w:shd w:val="clear" w:fill="FFFFFF"/>
        </w:rPr>
        <w:t>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六、结余分配：</w:t>
      </w:r>
      <w:r>
        <w:rPr>
          <w:rFonts w:hint="eastAsia" w:ascii="微软雅黑" w:hAnsi="微软雅黑" w:eastAsia="微软雅黑" w:cs="微软雅黑"/>
          <w:i w:val="0"/>
          <w:iCs w:val="0"/>
          <w:caps w:val="0"/>
          <w:color w:val="3C3C3C"/>
          <w:spacing w:val="0"/>
          <w:sz w:val="24"/>
          <w:szCs w:val="24"/>
          <w:shd w:val="clear" w:fill="FFFFFF"/>
        </w:rPr>
        <w:t>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七、年末结转和结余：</w:t>
      </w:r>
      <w:r>
        <w:rPr>
          <w:rFonts w:hint="eastAsia" w:ascii="微软雅黑" w:hAnsi="微软雅黑" w:eastAsia="微软雅黑" w:cs="微软雅黑"/>
          <w:i w:val="0"/>
          <w:iCs w:val="0"/>
          <w:caps w:val="0"/>
          <w:color w:val="3C3C3C"/>
          <w:spacing w:val="0"/>
          <w:sz w:val="24"/>
          <w:szCs w:val="24"/>
          <w:shd w:val="clear" w:fill="FFFFFF"/>
        </w:rPr>
        <w:t>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八、基本支出：</w:t>
      </w:r>
      <w:r>
        <w:rPr>
          <w:rFonts w:hint="eastAsia" w:ascii="微软雅黑" w:hAnsi="微软雅黑" w:eastAsia="微软雅黑" w:cs="微软雅黑"/>
          <w:i w:val="0"/>
          <w:iCs w:val="0"/>
          <w:caps w:val="0"/>
          <w:color w:val="3C3C3C"/>
          <w:spacing w:val="0"/>
          <w:sz w:val="24"/>
          <w:szCs w:val="24"/>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九、项目支出：</w:t>
      </w:r>
      <w:r>
        <w:rPr>
          <w:rFonts w:hint="eastAsia" w:ascii="微软雅黑" w:hAnsi="微软雅黑" w:eastAsia="微软雅黑" w:cs="微软雅黑"/>
          <w:i w:val="0"/>
          <w:iCs w:val="0"/>
          <w:caps w:val="0"/>
          <w:color w:val="3C3C3C"/>
          <w:spacing w:val="0"/>
          <w:sz w:val="24"/>
          <w:szCs w:val="24"/>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十、经营支出：</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十一、“三公”经费： </w:t>
      </w:r>
      <w:r>
        <w:rPr>
          <w:rFonts w:hint="eastAsia" w:ascii="微软雅黑" w:hAnsi="微软雅黑" w:eastAsia="微软雅黑" w:cs="微软雅黑"/>
          <w:i w:val="0"/>
          <w:iCs w:val="0"/>
          <w:caps w:val="0"/>
          <w:color w:val="3C3C3C"/>
          <w:spacing w:val="0"/>
          <w:sz w:val="24"/>
          <w:szCs w:val="24"/>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十二、机关运行经费：</w:t>
      </w:r>
      <w:r>
        <w:rPr>
          <w:rFonts w:hint="eastAsia" w:ascii="微软雅黑" w:hAnsi="微软雅黑" w:eastAsia="微软雅黑" w:cs="微软雅黑"/>
          <w:i w:val="0"/>
          <w:iCs w:val="0"/>
          <w:caps w:val="0"/>
          <w:color w:val="3C3C3C"/>
          <w:spacing w:val="0"/>
          <w:sz w:val="24"/>
          <w:szCs w:val="24"/>
          <w:shd w:val="clear" w:fill="FFFFFF"/>
        </w:rPr>
        <w:t>为保障行政单位（含参照公务员法管理的事业单位）运行用于购买 货物和服务等的各项公用经费，包括办公及印刷费、邮电费、差旅费、会议费、福利费、日常维护费、专用材料及一般设备购置费、办公用房水电费、办公用房取暖 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十三、工资福利支出（支出经济分类科目类级）：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十四、商品和服务支出（支出经济分类科目类级）：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十五、对个人和家庭的补助（支出经济分类科目类级）：</w:t>
      </w:r>
      <w:r>
        <w:rPr>
          <w:rFonts w:hint="eastAsia" w:ascii="微软雅黑" w:hAnsi="微软雅黑" w:eastAsia="微软雅黑" w:cs="微软雅黑"/>
          <w:i w:val="0"/>
          <w:iCs w:val="0"/>
          <w:caps w:val="0"/>
          <w:color w:val="3C3C3C"/>
          <w:spacing w:val="0"/>
          <w:sz w:val="24"/>
          <w:szCs w:val="24"/>
          <w:shd w:val="clear" w:fill="FFFFFF"/>
        </w:rPr>
        <w:t>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十六、其他资本性支出（支出经济分类科目类级）：</w:t>
      </w:r>
      <w:r>
        <w:rPr>
          <w:rFonts w:hint="eastAsia" w:ascii="微软雅黑" w:hAnsi="微软雅黑" w:eastAsia="微软雅黑" w:cs="微软雅黑"/>
          <w:i w:val="0"/>
          <w:iCs w:val="0"/>
          <w:caps w:val="0"/>
          <w:color w:val="3C3C3C"/>
          <w:spacing w:val="0"/>
          <w:sz w:val="24"/>
          <w:szCs w:val="24"/>
          <w:shd w:val="clear" w:fill="FFFFFF"/>
        </w:rPr>
        <w:t>反映非各级发展与改革部门集中安排的用于购置固定资产、战略性和应急性储备、土地和无形资产，以及构建基础设施、大型修缮和财政支持企业更新改造所发生的支出。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43128"/>
    <w:multiLevelType w:val="singleLevel"/>
    <w:tmpl w:val="E6643128"/>
    <w:lvl w:ilvl="0" w:tentative="0">
      <w:start w:val="8"/>
      <w:numFmt w:val="chineseCounting"/>
      <w:suff w:val="nothing"/>
      <w:lvlText w:val="%1、"/>
      <w:lvlJc w:val="left"/>
      <w:rPr>
        <w:rFonts w:hint="eastAsia"/>
      </w:rPr>
    </w:lvl>
  </w:abstractNum>
  <w:abstractNum w:abstractNumId="1">
    <w:nsid w:val="F0104592"/>
    <w:multiLevelType w:val="singleLevel"/>
    <w:tmpl w:val="F0104592"/>
    <w:lvl w:ilvl="0" w:tentative="0">
      <w:start w:val="1"/>
      <w:numFmt w:val="chineseCounting"/>
      <w:suff w:val="nothing"/>
      <w:lvlText w:val="%1、"/>
      <w:lvlJc w:val="left"/>
      <w:rPr>
        <w:rFonts w:hint="eastAsia"/>
      </w:rPr>
    </w:lvl>
  </w:abstractNum>
  <w:abstractNum w:abstractNumId="2">
    <w:nsid w:val="33EF378C"/>
    <w:multiLevelType w:val="singleLevel"/>
    <w:tmpl w:val="33EF378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DNiNzg3ZjUyNDkyNTg4NGQxOWE0OTdkZjIzNjcifQ=="/>
  </w:docVars>
  <w:rsids>
    <w:rsidRoot w:val="00000000"/>
    <w:rsid w:val="15D5590F"/>
    <w:rsid w:val="19322680"/>
    <w:rsid w:val="1BEF7793"/>
    <w:rsid w:val="1EE61F3B"/>
    <w:rsid w:val="27026F79"/>
    <w:rsid w:val="2CF47E48"/>
    <w:rsid w:val="36717A59"/>
    <w:rsid w:val="387700E8"/>
    <w:rsid w:val="39E27F5A"/>
    <w:rsid w:val="3A1846D0"/>
    <w:rsid w:val="447253F9"/>
    <w:rsid w:val="46124105"/>
    <w:rsid w:val="538F59F6"/>
    <w:rsid w:val="56A81E47"/>
    <w:rsid w:val="5E24556C"/>
    <w:rsid w:val="652266CA"/>
    <w:rsid w:val="74BD322B"/>
    <w:rsid w:val="75D47323"/>
    <w:rsid w:val="7A4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List Paragraph"/>
    <w:basedOn w:val="1"/>
    <w:qFormat/>
    <w:uiPriority w:val="34"/>
    <w:pPr>
      <w:ind w:left="641"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7236</Words>
  <Characters>8855</Characters>
  <Lines>0</Lines>
  <Paragraphs>0</Paragraphs>
  <TotalTime>2</TotalTime>
  <ScaleCrop>false</ScaleCrop>
  <LinksUpToDate>false</LinksUpToDate>
  <CharactersWithSpaces>9104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2023-06-25T01:43:00Z</dcterms:created>
  <dc:creator>User</dc:creator>
  <cp:lastModifiedBy>admin</cp:lastModifiedBy>
  <dcterms:modified xsi:type="dcterms:W3CDTF">2023-10-25T10:02:50Z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D1F462CE181E4F50BAF44BFDB81E2ED2_13</vt:lpwstr>
  </property>
</Properties>
</file>