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jc w:val="center"/>
        <w:rPr>
          <w:rFonts w:hint="eastAsia" w:ascii="微软雅黑" w:hAnsi="微软雅黑" w:eastAsia="微软雅黑" w:cs="微软雅黑"/>
          <w:b/>
          <w:bCs/>
          <w:i w:val="0"/>
          <w:iCs w:val="0"/>
          <w:caps w:val="0"/>
          <w:color w:val="3C3C3C"/>
          <w:spacing w:val="0"/>
          <w:sz w:val="42"/>
          <w:szCs w:val="42"/>
          <w:shd w:val="clear" w:fill="FFFFFF"/>
        </w:rPr>
      </w:pPr>
      <w:r>
        <w:rPr>
          <w:rFonts w:hint="eastAsia" w:ascii="微软雅黑" w:hAnsi="微软雅黑" w:eastAsia="微软雅黑" w:cs="微软雅黑"/>
          <w:b/>
          <w:bCs/>
          <w:i w:val="0"/>
          <w:iCs w:val="0"/>
          <w:caps w:val="0"/>
          <w:color w:val="3C3C3C"/>
          <w:spacing w:val="0"/>
          <w:sz w:val="42"/>
          <w:szCs w:val="42"/>
          <w:shd w:val="clear" w:fill="FFFFFF"/>
        </w:rPr>
        <w:t>甘肃省农垦集团</w:t>
      </w:r>
      <w:bookmarkStart w:id="0" w:name="_GoBack"/>
      <w:bookmarkEnd w:id="0"/>
      <w:r>
        <w:rPr>
          <w:rFonts w:hint="eastAsia" w:ascii="微软雅黑" w:hAnsi="微软雅黑" w:eastAsia="微软雅黑" w:cs="微软雅黑"/>
          <w:b/>
          <w:bCs/>
          <w:i w:val="0"/>
          <w:iCs w:val="0"/>
          <w:caps w:val="0"/>
          <w:color w:val="3C3C3C"/>
          <w:spacing w:val="0"/>
          <w:sz w:val="42"/>
          <w:szCs w:val="42"/>
          <w:shd w:val="clear" w:fill="FFFFFF"/>
        </w:rPr>
        <w:t>公司酒泉离退休工作站2021年度部门决算说明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一、职能职责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八、政府性基金预算财政拨款收入支出决算表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九、国有资本经营预算财政拨款支出决算表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五、一般公共预算财政拨款支出决算情况说明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八、机关运行经费支出情况说明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九、政府采购支出情况说明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第四部门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第一部分  部门概括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一、部门职责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酒泉离退休工作站是2005年10月由甘肃省农垦事业管理办公室举办的、经甘肃省事业单位登记局批准设立的全额拨款的事业单位，位于酒泉市南环东路31号，法定代表人：许有军、开办资金4万元，业务范围：负责酒泉离退休人员的日常生活管理与服务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二、机构设置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甘肃省农垦集团公司酒泉离退休站为甘肃省农垦事业办公室所属公益二类直属事业单位。甘肃省农垦集团公司酒泉离退休站实行“一个实体、一套人马、两块牌子”的管理体制，和农垦百安商贸公司合署办公，内设机构由农垦百安商贸公司统一管理，内设综合办公室、财务部等2个部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第二部分  2021年度部门决算报表</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收入支出决算总表</w:t>
      </w:r>
    </w:p>
    <w:tbl>
      <w:tblPr>
        <w:tblStyle w:val="3"/>
        <w:tblW w:w="8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01"/>
        <w:gridCol w:w="400"/>
        <w:gridCol w:w="927"/>
        <w:gridCol w:w="2678"/>
        <w:gridCol w:w="572"/>
        <w:gridCol w:w="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4428"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w:t>
            </w:r>
          </w:p>
        </w:tc>
        <w:tc>
          <w:tcPr>
            <w:tcW w:w="3890" w:type="dxa"/>
            <w:gridSpan w:val="3"/>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400"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572"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6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四、上级补助收入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五、事业收入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六、经营收入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八、其他收入</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结余分配</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2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678"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640" w:type="dxa"/>
            <w:tcBorders>
              <w:top w:val="nil"/>
              <w:left w:val="nil"/>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65" w:hRule="atLeast"/>
        </w:trPr>
        <w:tc>
          <w:tcPr>
            <w:tcW w:w="3101"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40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2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6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57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64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收入决算表</w:t>
      </w:r>
    </w:p>
    <w:tbl>
      <w:tblPr>
        <w:tblStyle w:val="3"/>
        <w:tblW w:w="84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24"/>
        <w:gridCol w:w="824"/>
        <w:gridCol w:w="450"/>
        <w:gridCol w:w="450"/>
        <w:gridCol w:w="451"/>
        <w:gridCol w:w="451"/>
        <w:gridCol w:w="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本年收入合计</w:t>
            </w:r>
          </w:p>
        </w:tc>
        <w:tc>
          <w:tcPr>
            <w:tcW w:w="8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财政拨款收入</w:t>
            </w:r>
          </w:p>
        </w:tc>
        <w:tc>
          <w:tcPr>
            <w:tcW w:w="4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上级补助收入</w:t>
            </w:r>
          </w:p>
        </w:tc>
        <w:tc>
          <w:tcPr>
            <w:tcW w:w="45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事业收入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附属单位上缴收入</w:t>
            </w:r>
          </w:p>
        </w:tc>
        <w:tc>
          <w:tcPr>
            <w:tcW w:w="45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1"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5"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45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2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1"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3"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3"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45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支出决算表</w:t>
      </w:r>
    </w:p>
    <w:tbl>
      <w:tblPr>
        <w:tblStyle w:val="3"/>
        <w:tblW w:w="83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847"/>
        <w:gridCol w:w="847"/>
        <w:gridCol w:w="538"/>
        <w:gridCol w:w="538"/>
        <w:gridCol w:w="538"/>
        <w:gridCol w:w="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84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本年支出合计</w:t>
            </w:r>
          </w:p>
        </w:tc>
        <w:tc>
          <w:tcPr>
            <w:tcW w:w="84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上缴上级支出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经营支出</w:t>
            </w:r>
          </w:p>
        </w:tc>
        <w:tc>
          <w:tcPr>
            <w:tcW w:w="53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8"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4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53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84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7"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3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4"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47"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53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财政拨款收入支出决算总表</w:t>
      </w:r>
    </w:p>
    <w:tbl>
      <w:tblPr>
        <w:tblStyle w:val="3"/>
        <w:tblW w:w="85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57"/>
        <w:gridCol w:w="381"/>
        <w:gridCol w:w="902"/>
        <w:gridCol w:w="2225"/>
        <w:gridCol w:w="381"/>
        <w:gridCol w:w="923"/>
        <w:gridCol w:w="878"/>
        <w:gridCol w:w="240"/>
        <w:gridCol w:w="142"/>
        <w:gridCol w:w="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gridAfter w:val="1"/>
          <w:wAfter w:w="94" w:type="dxa"/>
          <w:trHeight w:val="310" w:hRule="atLeast"/>
        </w:trPr>
        <w:tc>
          <w:tcPr>
            <w:tcW w:w="3640"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789" w:type="dxa"/>
            <w:gridSpan w:val="6"/>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235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02"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p>
        </w:tc>
        <w:tc>
          <w:tcPr>
            <w:tcW w:w="2225" w:type="dxa"/>
            <w:vMerge w:val="restart"/>
            <w:tcBorders>
              <w:top w:val="nil"/>
              <w:left w:val="nil"/>
              <w:bottom w:val="single" w:color="000000" w:sz="4" w:space="0"/>
              <w:right w:val="single" w:color="000000" w:sz="4" w:space="0"/>
            </w:tcBorders>
            <w:shd w:val="clear" w:color="auto" w:fill="C0C0C0"/>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行次</w:t>
            </w:r>
          </w:p>
        </w:tc>
        <w:tc>
          <w:tcPr>
            <w:tcW w:w="923"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一般公共预算财政拨款</w:t>
            </w:r>
          </w:p>
        </w:tc>
        <w:tc>
          <w:tcPr>
            <w:tcW w:w="24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政府性基金预算财政拨款</w:t>
            </w:r>
          </w:p>
        </w:tc>
        <w:tc>
          <w:tcPr>
            <w:tcW w:w="236" w:type="dxa"/>
            <w:gridSpan w:val="2"/>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6" w:hRule="atLeast"/>
        </w:trPr>
        <w:tc>
          <w:tcPr>
            <w:tcW w:w="2357" w:type="dxa"/>
            <w:vMerge w:val="continue"/>
            <w:tcBorders>
              <w:top w:val="nil"/>
              <w:left w:val="single" w:color="000000" w:sz="4" w:space="0"/>
              <w:bottom w:val="single" w:color="000000" w:sz="4" w:space="0"/>
              <w:right w:val="single" w:color="000000" w:sz="4" w:space="0"/>
            </w:tcBorders>
            <w:shd w:val="clear" w:color="auto" w:fill="C0C0C0"/>
            <w:vAlign w:val="center"/>
          </w:tcPr>
          <w:p>
            <w:pPr>
              <w:jc w:val="both"/>
              <w:rPr>
                <w:rFonts w:hint="eastAsia" w:ascii="宋体" w:hAnsi="宋体" w:eastAsia="宋体" w:cs="宋体"/>
                <w:i w:val="0"/>
                <w:iCs w:val="0"/>
                <w:color w:val="000000"/>
                <w:sz w:val="20"/>
                <w:szCs w:val="20"/>
                <w:u w:val="none"/>
              </w:rPr>
            </w:pPr>
          </w:p>
        </w:tc>
        <w:tc>
          <w:tcPr>
            <w:tcW w:w="38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02"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225" w:type="dxa"/>
            <w:vMerge w:val="continue"/>
            <w:tcBorders>
              <w:top w:val="nil"/>
              <w:left w:val="nil"/>
              <w:bottom w:val="single" w:color="000000" w:sz="4" w:space="0"/>
              <w:right w:val="single" w:color="000000" w:sz="4" w:space="0"/>
            </w:tcBorders>
            <w:shd w:val="clear" w:color="auto" w:fill="C0C0C0"/>
            <w:vAlign w:val="bottom"/>
          </w:tcPr>
          <w:p>
            <w:pPr>
              <w:jc w:val="both"/>
              <w:rPr>
                <w:rFonts w:hint="eastAsia" w:ascii="宋体" w:hAnsi="宋体" w:eastAsia="宋体" w:cs="宋体"/>
                <w:i w:val="0"/>
                <w:iCs w:val="0"/>
                <w:color w:val="000000"/>
                <w:sz w:val="20"/>
                <w:szCs w:val="20"/>
                <w:u w:val="none"/>
              </w:rPr>
            </w:pPr>
          </w:p>
        </w:tc>
        <w:tc>
          <w:tcPr>
            <w:tcW w:w="38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3"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87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4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36" w:type="dxa"/>
            <w:gridSpan w:val="2"/>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81"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02"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25" w:type="dxa"/>
            <w:tcBorders>
              <w:top w:val="nil"/>
              <w:left w:val="nil"/>
              <w:bottom w:val="single" w:color="000000" w:sz="4" w:space="0"/>
              <w:right w:val="single" w:color="000000" w:sz="4" w:space="0"/>
            </w:tcBorders>
            <w:shd w:val="clear" w:color="auto" w:fill="C0C0C0"/>
            <w:noWrap/>
            <w:vAlign w:val="bottom"/>
          </w:tcPr>
          <w:p>
            <w:pPr>
              <w:keepNext w:val="0"/>
              <w:keepLines w:val="0"/>
              <w:widowControl/>
              <w:suppressLineNumbers w:val="0"/>
              <w:jc w:val="both"/>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381" w:type="dxa"/>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3"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87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40"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6" w:type="dxa"/>
            <w:gridSpan w:val="2"/>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152.20</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20.59</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十六、金融支出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十九、住房保障支出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二十三、其他支出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center"/>
              <w:rPr>
                <w:rFonts w:hint="eastAsia" w:ascii="宋体" w:hAnsi="宋体" w:eastAsia="宋体" w:cs="宋体"/>
                <w:b/>
                <w:bCs/>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本年收入合计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本年支出合计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年初财政拨款结转和结余</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年末财政拨款结转和结余</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一般公共预算财政拨款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政府性基金预算财政拨款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国有资本经营预算财政拨款</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902"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225" w:type="dxa"/>
            <w:tcBorders>
              <w:top w:val="nil"/>
              <w:left w:val="nil"/>
              <w:bottom w:val="single" w:color="000000" w:sz="4" w:space="0"/>
              <w:right w:val="single" w:color="000000" w:sz="4" w:space="0"/>
            </w:tcBorders>
            <w:shd w:val="clear" w:color="auto" w:fill="C0C0C0"/>
            <w:noWrap/>
            <w:vAlign w:val="center"/>
          </w:tcPr>
          <w:p>
            <w:pPr>
              <w:jc w:val="left"/>
              <w:rPr>
                <w:rFonts w:hint="eastAsia" w:ascii="宋体" w:hAnsi="宋体" w:eastAsia="宋体" w:cs="宋体"/>
                <w:i w:val="0"/>
                <w:iCs w:val="0"/>
                <w:color w:val="000000"/>
                <w:sz w:val="20"/>
                <w:szCs w:val="20"/>
                <w:u w:val="none"/>
              </w:rPr>
            </w:pP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923"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87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0" w:hRule="atLeast"/>
        </w:trPr>
        <w:tc>
          <w:tcPr>
            <w:tcW w:w="2357"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902"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22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总计</w:t>
            </w:r>
          </w:p>
        </w:tc>
        <w:tc>
          <w:tcPr>
            <w:tcW w:w="38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92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878"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195.33</w:t>
            </w:r>
          </w:p>
        </w:tc>
        <w:tc>
          <w:tcPr>
            <w:tcW w:w="24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236" w:type="dxa"/>
            <w:gridSpan w:val="2"/>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一般公共预算财政拨款支出决算表</w:t>
      </w:r>
    </w:p>
    <w:tbl>
      <w:tblPr>
        <w:tblStyle w:val="3"/>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6"/>
        <w:gridCol w:w="3616"/>
        <w:gridCol w:w="1324"/>
        <w:gridCol w:w="1324"/>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382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8" w:hRule="atLeast"/>
        </w:trPr>
        <w:tc>
          <w:tcPr>
            <w:tcW w:w="916"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616"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3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2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17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7" w:hRule="atLeast"/>
        </w:trPr>
        <w:tc>
          <w:tcPr>
            <w:tcW w:w="916"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616"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32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17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7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453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195.33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社会保障和就业支出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152.20</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20805</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行政事业单位养老支出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145.35</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事业单位离退休</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141.84</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2080506</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机关事业单位职业年金缴费支出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20808</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抚恤</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6.82</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2080801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死亡抚恤</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20899</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其他社会保障和就业支出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2089999</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其他社会保障和就业支出</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卫生健康支出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21011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行政事业单位医疗</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20.59</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2101102</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事业单位医疗</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2101103</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农林水支出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9"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21301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农业农村</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2130105</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农垦运行</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20.83</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住房保障支出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1" w:hRule="atLeast"/>
        </w:trPr>
        <w:tc>
          <w:tcPr>
            <w:tcW w:w="916"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22102</w:t>
            </w:r>
          </w:p>
        </w:tc>
        <w:tc>
          <w:tcPr>
            <w:tcW w:w="3616"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住房改革支出</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C0C0C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2" w:hRule="atLeast"/>
        </w:trPr>
        <w:tc>
          <w:tcPr>
            <w:tcW w:w="916" w:type="dxa"/>
            <w:tcBorders>
              <w:top w:val="nil"/>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2210201</w:t>
            </w:r>
          </w:p>
        </w:tc>
        <w:tc>
          <w:tcPr>
            <w:tcW w:w="3616" w:type="dxa"/>
            <w:tcBorders>
              <w:top w:val="nil"/>
              <w:left w:val="nil"/>
              <w:bottom w:val="single" w:color="000000" w:sz="4" w:space="0"/>
              <w:right w:val="single" w:color="000000" w:sz="4" w:space="0"/>
            </w:tcBorders>
            <w:shd w:val="clear" w:color="auto" w:fill="CC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32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17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一般公共预算财政拨款基本支出决算表</w:t>
      </w:r>
    </w:p>
    <w:tbl>
      <w:tblPr>
        <w:tblStyle w:val="3"/>
        <w:tblpPr w:leftFromText="180" w:rightFromText="180" w:vertAnchor="text" w:horzAnchor="page" w:tblpX="1868" w:tblpY="888"/>
        <w:tblOverlap w:val="never"/>
        <w:tblW w:w="8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0"/>
        <w:gridCol w:w="1348"/>
        <w:gridCol w:w="884"/>
        <w:gridCol w:w="733"/>
        <w:gridCol w:w="858"/>
        <w:gridCol w:w="625"/>
        <w:gridCol w:w="750"/>
        <w:gridCol w:w="1767"/>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3" w:hRule="atLeast"/>
        </w:trPr>
        <w:tc>
          <w:tcPr>
            <w:tcW w:w="2762" w:type="dxa"/>
            <w:gridSpan w:val="3"/>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5566" w:type="dxa"/>
            <w:gridSpan w:val="6"/>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1" w:hRule="atLeast"/>
        </w:trPr>
        <w:tc>
          <w:tcPr>
            <w:tcW w:w="530"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348"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84"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3"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858"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625"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50"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767"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33" w:type="dxa"/>
            <w:vMerge w:val="restart"/>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6" w:hRule="atLeast"/>
        </w:trPr>
        <w:tc>
          <w:tcPr>
            <w:tcW w:w="530" w:type="dxa"/>
            <w:vMerge w:val="continue"/>
            <w:tcBorders>
              <w:top w:val="nil"/>
              <w:left w:val="single" w:color="000000" w:sz="4" w:space="0"/>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1348"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84"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733"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58"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625"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750"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1767"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c>
          <w:tcPr>
            <w:tcW w:w="833" w:type="dxa"/>
            <w:vMerge w:val="continue"/>
            <w:tcBorders>
              <w:top w:val="nil"/>
              <w:left w:val="nil"/>
              <w:bottom w:val="single" w:color="000000" w:sz="4" w:space="0"/>
              <w:right w:val="single" w:color="000000" w:sz="4" w:space="0"/>
            </w:tcBorders>
            <w:shd w:val="clear" w:color="auto" w:fill="C0C0C0"/>
            <w:vAlign w:val="center"/>
          </w:tcPr>
          <w:p>
            <w:pPr>
              <w:keepNext w:val="0"/>
              <w:keepLines w:val="0"/>
              <w:pageBreakBefore w:val="0"/>
              <w:widowControl/>
              <w:kinsoku/>
              <w:wordWrap/>
              <w:overflowPunct/>
              <w:topLinePunct w:val="0"/>
              <w:autoSpaceDE/>
              <w:autoSpaceDN/>
              <w:bidi w:val="0"/>
              <w:adjustRightInd/>
              <w:snapToGrid/>
              <w:spacing w:line="120" w:lineRule="auto"/>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26.08</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7.34</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2.34</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0.66</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0.38</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166.80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25.92</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111.47</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6.82</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59"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34"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5"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5.43</w:t>
            </w: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57" w:hRule="atLeast"/>
        </w:trPr>
        <w:tc>
          <w:tcPr>
            <w:tcW w:w="530" w:type="dxa"/>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34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c>
          <w:tcPr>
            <w:tcW w:w="733"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858"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625"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750"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1767" w:type="dxa"/>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kinsoku/>
              <w:wordWrap/>
              <w:overflowPunct/>
              <w:topLinePunct w:val="0"/>
              <w:autoSpaceDE/>
              <w:autoSpaceDN/>
              <w:bidi w:val="0"/>
              <w:adjustRightInd/>
              <w:snapToGrid/>
              <w:spacing w:line="120" w:lineRule="auto"/>
              <w:jc w:val="left"/>
              <w:rPr>
                <w:rFonts w:hint="eastAsia" w:ascii="宋体" w:hAnsi="宋体" w:eastAsia="宋体" w:cs="宋体"/>
                <w:i w:val="0"/>
                <w:iCs w:val="0"/>
                <w:color w:val="000000"/>
                <w:sz w:val="20"/>
                <w:szCs w:val="20"/>
                <w:u w:val="none"/>
              </w:rPr>
            </w:pP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spacing w:line="120" w:lineRule="auto"/>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1878"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884"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192.88</w:t>
            </w:r>
          </w:p>
        </w:tc>
        <w:tc>
          <w:tcPr>
            <w:tcW w:w="4733" w:type="dxa"/>
            <w:gridSpan w:val="5"/>
            <w:tcBorders>
              <w:top w:val="nil"/>
              <w:left w:val="nil"/>
              <w:bottom w:val="single" w:color="000000" w:sz="4" w:space="0"/>
              <w:right w:val="single" w:color="000000" w:sz="4" w:space="0"/>
            </w:tcBorders>
            <w:shd w:val="clear" w:color="auto" w:fill="C0C0C0"/>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833" w:type="dxa"/>
            <w:tcBorders>
              <w:top w:val="nil"/>
              <w:left w:val="nil"/>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line="120" w:lineRule="auto"/>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一般公共预算财政拨款“三公”经费支出决算表</w:t>
      </w:r>
    </w:p>
    <w:tbl>
      <w:tblPr>
        <w:tblStyle w:val="3"/>
        <w:tblW w:w="8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820"/>
        <w:gridCol w:w="654"/>
        <w:gridCol w:w="655"/>
        <w:gridCol w:w="656"/>
        <w:gridCol w:w="683"/>
        <w:gridCol w:w="680"/>
        <w:gridCol w:w="820"/>
        <w:gridCol w:w="655"/>
        <w:gridCol w:w="655"/>
        <w:gridCol w:w="658"/>
        <w:gridCol w:w="6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7" w:hRule="atLeast"/>
        </w:trPr>
        <w:tc>
          <w:tcPr>
            <w:tcW w:w="4147" w:type="dxa"/>
            <w:gridSpan w:val="6"/>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4152" w:type="dxa"/>
            <w:gridSpan w:val="6"/>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5" w:hRule="atLeast"/>
        </w:trPr>
        <w:tc>
          <w:tcPr>
            <w:tcW w:w="679"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965"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683"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8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20"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968"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684"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80" w:hRule="atLeast"/>
        </w:trPr>
        <w:tc>
          <w:tcPr>
            <w:tcW w:w="679"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5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683"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8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820"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6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684"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7" w:hRule="atLeast"/>
        </w:trPr>
        <w:tc>
          <w:tcPr>
            <w:tcW w:w="679" w:type="dxa"/>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5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56"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83"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8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820"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55"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58"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84" w:type="dxa"/>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37" w:hRule="atLeast"/>
        </w:trPr>
        <w:tc>
          <w:tcPr>
            <w:tcW w:w="679" w:type="dxa"/>
            <w:tcBorders>
              <w:top w:val="nil"/>
              <w:left w:val="single" w:color="000000" w:sz="4" w:space="0"/>
              <w:bottom w:val="single" w:color="000000" w:sz="4" w:space="0"/>
              <w:right w:val="single" w:color="000000" w:sz="4" w:space="0"/>
            </w:tcBorders>
            <w:shd w:val="clear" w:color="auto" w:fill="00FF00"/>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4"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6"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83"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680"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820"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5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684" w:type="dxa"/>
            <w:tcBorders>
              <w:top w:val="nil"/>
              <w:left w:val="nil"/>
              <w:bottom w:val="single" w:color="000000" w:sz="4" w:space="0"/>
              <w:right w:val="single" w:color="000000"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政府性基金预算财政拨款收入支出决算表（本部门没有相关数据，故本表无数据）</w:t>
      </w:r>
    </w:p>
    <w:tbl>
      <w:tblPr>
        <w:tblStyle w:val="3"/>
        <w:tblW w:w="8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7"/>
        <w:gridCol w:w="2175"/>
        <w:gridCol w:w="928"/>
        <w:gridCol w:w="929"/>
        <w:gridCol w:w="929"/>
        <w:gridCol w:w="929"/>
        <w:gridCol w:w="931"/>
        <w:gridCol w:w="9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28"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789"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47"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2175"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9"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31"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47"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7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47"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2175"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928"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31"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929"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928"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31"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29"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27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547"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2175" w:type="dxa"/>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928"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31"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929"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rPr>
        <w:t>国有资本经营预算财政拨款支出决算表（本部门没有相关数据，故本表无数据）</w:t>
      </w:r>
    </w:p>
    <w:tbl>
      <w:tblPr>
        <w:tblStyle w:val="3"/>
        <w:tblW w:w="83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3294"/>
        <w:gridCol w:w="1405"/>
        <w:gridCol w:w="1405"/>
        <w:gridCol w:w="14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2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4217" w:type="dxa"/>
            <w:gridSpan w:val="3"/>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9" w:hRule="atLeast"/>
        </w:trPr>
        <w:tc>
          <w:tcPr>
            <w:tcW w:w="828" w:type="dxa"/>
            <w:vMerge w:val="restart"/>
            <w:tcBorders>
              <w:top w:val="nil"/>
              <w:left w:val="single" w:color="000000" w:sz="4" w:space="0"/>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3294" w:type="dxa"/>
            <w:vMerge w:val="restart"/>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4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05"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407" w:type="dxa"/>
            <w:vMerge w:val="restart"/>
            <w:tcBorders>
              <w:top w:val="nil"/>
              <w:left w:val="nil"/>
              <w:bottom w:val="single" w:color="000000" w:sz="4" w:space="0"/>
              <w:right w:val="single" w:color="000000" w:sz="4" w:space="0"/>
            </w:tcBorders>
            <w:shd w:val="clear" w:color="auto" w:fill="C0C0C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9" w:hRule="atLeast"/>
        </w:trPr>
        <w:tc>
          <w:tcPr>
            <w:tcW w:w="828"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9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5" w:hRule="atLeast"/>
        </w:trPr>
        <w:tc>
          <w:tcPr>
            <w:tcW w:w="828" w:type="dxa"/>
            <w:vMerge w:val="continue"/>
            <w:tcBorders>
              <w:top w:val="nil"/>
              <w:left w:val="single" w:color="000000" w:sz="4" w:space="0"/>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3294" w:type="dxa"/>
            <w:vMerge w:val="continue"/>
            <w:tcBorders>
              <w:top w:val="nil"/>
              <w:left w:val="nil"/>
              <w:bottom w:val="single" w:color="000000" w:sz="4" w:space="0"/>
              <w:right w:val="single" w:color="000000" w:sz="4" w:space="0"/>
            </w:tcBorders>
            <w:shd w:val="clear" w:color="auto" w:fill="C0C0C0"/>
            <w:noWrap/>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5"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c>
          <w:tcPr>
            <w:tcW w:w="1407" w:type="dxa"/>
            <w:vMerge w:val="continue"/>
            <w:tcBorders>
              <w:top w:val="nil"/>
              <w:left w:val="nil"/>
              <w:bottom w:val="single" w:color="000000" w:sz="4" w:space="0"/>
              <w:right w:val="single" w:color="000000" w:sz="4" w:space="0"/>
            </w:tcBorders>
            <w:shd w:val="clear" w:color="auto" w:fill="C0C0C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14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05"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07" w:type="dxa"/>
            <w:tcBorders>
              <w:top w:val="nil"/>
              <w:left w:val="nil"/>
              <w:bottom w:val="single" w:color="000000" w:sz="4" w:space="0"/>
              <w:right w:val="single" w:color="000000" w:sz="4" w:space="0"/>
            </w:tcBorders>
            <w:shd w:val="clear" w:color="auto" w:fill="C0C0C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1" w:hRule="atLeast"/>
        </w:trPr>
        <w:tc>
          <w:tcPr>
            <w:tcW w:w="4122" w:type="dxa"/>
            <w:gridSpan w:val="2"/>
            <w:tcBorders>
              <w:top w:val="nil"/>
              <w:left w:val="single" w:color="000000" w:sz="4" w:space="0"/>
              <w:bottom w:val="single" w:color="000000" w:sz="4" w:space="0"/>
              <w:right w:val="single" w:color="000000" w:sz="4" w:space="0"/>
            </w:tcBorders>
            <w:shd w:val="clear" w:color="auto" w:fill="C0C0C0"/>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05"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00FF00"/>
            <w:noWrap/>
            <w:vAlign w:val="center"/>
          </w:tcPr>
          <w:p>
            <w:pPr>
              <w:jc w:val="right"/>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1" w:hRule="atLeast"/>
        </w:trPr>
        <w:tc>
          <w:tcPr>
            <w:tcW w:w="828" w:type="dxa"/>
            <w:tcBorders>
              <w:top w:val="nil"/>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0"/>
                <w:szCs w:val="20"/>
                <w:u w:val="none"/>
              </w:rPr>
            </w:pPr>
          </w:p>
        </w:tc>
        <w:tc>
          <w:tcPr>
            <w:tcW w:w="3294" w:type="dxa"/>
            <w:tcBorders>
              <w:top w:val="nil"/>
              <w:left w:val="nil"/>
              <w:bottom w:val="single" w:color="000000" w:sz="4" w:space="0"/>
              <w:right w:val="single" w:color="000000" w:sz="4" w:space="0"/>
            </w:tcBorders>
            <w:shd w:val="clear" w:color="auto" w:fill="CCFFFF"/>
            <w:noWrap/>
            <w:vAlign w:val="center"/>
          </w:tcPr>
          <w:p>
            <w:pPr>
              <w:jc w:val="left"/>
              <w:rPr>
                <w:rFonts w:hint="eastAsia" w:ascii="宋体" w:hAnsi="宋体" w:eastAsia="宋体" w:cs="宋体"/>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05"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c>
          <w:tcPr>
            <w:tcW w:w="1407" w:type="dxa"/>
            <w:tcBorders>
              <w:top w:val="nil"/>
              <w:left w:val="nil"/>
              <w:bottom w:val="single" w:color="000000" w:sz="4" w:space="0"/>
              <w:right w:val="single" w:color="000000" w:sz="4" w:space="0"/>
            </w:tcBorders>
            <w:shd w:val="clear" w:color="auto" w:fill="FFFFFF"/>
            <w:noWrap/>
            <w:vAlign w:val="center"/>
          </w:tcPr>
          <w:p>
            <w:pPr>
              <w:jc w:val="right"/>
              <w:rPr>
                <w:rFonts w:hint="eastAsia" w:ascii="宋体" w:hAnsi="宋体" w:eastAsia="宋体" w:cs="宋体"/>
                <w:i w:val="0"/>
                <w:iCs w:val="0"/>
                <w:color w:val="000000"/>
                <w:sz w:val="20"/>
                <w:szCs w:val="20"/>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right="0" w:rightChars="0"/>
        <w:jc w:val="left"/>
        <w:rPr>
          <w:rFonts w:hint="eastAsia" w:ascii="微软雅黑" w:hAnsi="微软雅黑" w:eastAsia="微软雅黑" w:cs="微软雅黑"/>
          <w:i w:val="0"/>
          <w:iCs w:val="0"/>
          <w:caps w:val="0"/>
          <w:color w:val="3C3C3C"/>
          <w:spacing w:val="0"/>
          <w:sz w:val="24"/>
          <w:szCs w:val="24"/>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第三部分  2021年度部门决算情况说明</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lang w:eastAsia="zh-CN"/>
        </w:rPr>
        <w:t>总收支。202</w:t>
      </w:r>
      <w:r>
        <w:rPr>
          <w:rFonts w:hint="eastAsia" w:ascii="微软雅黑" w:hAnsi="微软雅黑" w:eastAsia="微软雅黑" w:cs="微软雅黑"/>
          <w:i w:val="0"/>
          <w:iCs w:val="0"/>
          <w:caps w:val="0"/>
          <w:color w:val="3C3C3C"/>
          <w:spacing w:val="0"/>
          <w:sz w:val="24"/>
          <w:szCs w:val="24"/>
          <w:shd w:val="clear" w:fill="FFFFFF"/>
          <w:lang w:val="en-US" w:eastAsia="zh-CN"/>
        </w:rPr>
        <w:t>1</w:t>
      </w:r>
      <w:r>
        <w:rPr>
          <w:rFonts w:hint="eastAsia" w:ascii="微软雅黑" w:hAnsi="微软雅黑" w:eastAsia="微软雅黑" w:cs="微软雅黑"/>
          <w:i w:val="0"/>
          <w:iCs w:val="0"/>
          <w:caps w:val="0"/>
          <w:color w:val="3C3C3C"/>
          <w:spacing w:val="0"/>
          <w:sz w:val="24"/>
          <w:szCs w:val="24"/>
          <w:shd w:val="clear" w:fill="FFFFFF"/>
          <w:lang w:eastAsia="zh-CN"/>
        </w:rPr>
        <w:t>年度年初结转和结余0.00万元，本年收入</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lang w:eastAsia="zh-CN"/>
        </w:rPr>
        <w:t>万元，本年支出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lang w:eastAsia="zh-CN"/>
        </w:rPr>
        <w:t>万元，使用非财政拨款结余0.00万元，结余分配0.00万元，年末结转和结余0.00万元。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二、收入决算情况说明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2021年度收入合计</w:t>
      </w:r>
      <w:r>
        <w:rPr>
          <w:rFonts w:hint="eastAsia" w:ascii="微软雅黑" w:hAnsi="微软雅黑" w:eastAsia="微软雅黑" w:cs="微软雅黑"/>
          <w:i w:val="0"/>
          <w:iCs w:val="0"/>
          <w:caps w:val="0"/>
          <w:color w:val="3C3C3C"/>
          <w:spacing w:val="0"/>
          <w:sz w:val="24"/>
          <w:szCs w:val="24"/>
          <w:shd w:val="clear" w:fill="FFFFFF"/>
          <w:lang w:val="en-US" w:eastAsia="zh-CN"/>
        </w:rPr>
        <w:t>195.33万元</w:t>
      </w:r>
      <w:r>
        <w:rPr>
          <w:rFonts w:hint="eastAsia" w:ascii="微软雅黑" w:hAnsi="微软雅黑" w:eastAsia="微软雅黑" w:cs="微软雅黑"/>
          <w:i w:val="0"/>
          <w:iCs w:val="0"/>
          <w:caps w:val="0"/>
          <w:color w:val="3C3C3C"/>
          <w:spacing w:val="0"/>
          <w:sz w:val="24"/>
          <w:szCs w:val="24"/>
          <w:shd w:val="clear" w:fill="FFFFFF"/>
        </w:rPr>
        <w:t>，其中：</w:t>
      </w:r>
      <w:r>
        <w:rPr>
          <w:rFonts w:hint="eastAsia" w:ascii="微软雅黑" w:hAnsi="微软雅黑" w:eastAsia="微软雅黑" w:cs="微软雅黑"/>
          <w:i w:val="0"/>
          <w:iCs w:val="0"/>
          <w:caps w:val="0"/>
          <w:color w:val="3C3C3C"/>
          <w:spacing w:val="0"/>
          <w:sz w:val="24"/>
          <w:szCs w:val="24"/>
          <w:shd w:val="clear" w:fill="FFFFFF"/>
          <w:lang w:val="en-US" w:eastAsia="zh-CN"/>
        </w:rPr>
        <w:t>基本收入195.33</w:t>
      </w:r>
      <w:r>
        <w:rPr>
          <w:rFonts w:hint="eastAsia" w:ascii="微软雅黑" w:hAnsi="微软雅黑" w:eastAsia="微软雅黑" w:cs="微软雅黑"/>
          <w:i w:val="0"/>
          <w:iCs w:val="0"/>
          <w:caps w:val="0"/>
          <w:color w:val="3C3C3C"/>
          <w:spacing w:val="0"/>
          <w:sz w:val="24"/>
          <w:szCs w:val="24"/>
          <w:shd w:val="clear" w:fill="FFFFFF"/>
        </w:rPr>
        <w:t>万元，占100%。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2021年度支出合计</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万元，其中：</w:t>
      </w:r>
      <w:r>
        <w:rPr>
          <w:rFonts w:hint="eastAsia" w:ascii="微软雅黑" w:hAnsi="微软雅黑" w:eastAsia="微软雅黑" w:cs="微软雅黑"/>
          <w:i w:val="0"/>
          <w:iCs w:val="0"/>
          <w:caps w:val="0"/>
          <w:color w:val="3C3C3C"/>
          <w:spacing w:val="0"/>
          <w:sz w:val="24"/>
          <w:szCs w:val="24"/>
          <w:shd w:val="clear" w:fill="FFFFFF"/>
          <w:lang w:val="en-US" w:eastAsia="zh-CN"/>
        </w:rPr>
        <w:t>基本支出195.33</w:t>
      </w:r>
      <w:r>
        <w:rPr>
          <w:rFonts w:hint="eastAsia" w:ascii="微软雅黑" w:hAnsi="微软雅黑" w:eastAsia="微软雅黑" w:cs="微软雅黑"/>
          <w:i w:val="0"/>
          <w:iCs w:val="0"/>
          <w:caps w:val="0"/>
          <w:color w:val="3C3C3C"/>
          <w:spacing w:val="0"/>
          <w:sz w:val="24"/>
          <w:szCs w:val="24"/>
          <w:shd w:val="clear" w:fill="FFFFFF"/>
        </w:rPr>
        <w:t>万元，占</w:t>
      </w:r>
      <w:r>
        <w:rPr>
          <w:rFonts w:hint="eastAsia" w:ascii="微软雅黑" w:hAnsi="微软雅黑" w:eastAsia="微软雅黑" w:cs="微软雅黑"/>
          <w:i w:val="0"/>
          <w:iCs w:val="0"/>
          <w:caps w:val="0"/>
          <w:color w:val="3C3C3C"/>
          <w:spacing w:val="0"/>
          <w:sz w:val="24"/>
          <w:szCs w:val="24"/>
          <w:shd w:val="clear" w:fill="FFFFFF"/>
          <w:lang w:val="en-US" w:eastAsia="zh-CN"/>
        </w:rPr>
        <w:t>100</w:t>
      </w:r>
      <w:r>
        <w:rPr>
          <w:rFonts w:hint="eastAsia" w:ascii="微软雅黑" w:hAnsi="微软雅黑" w:eastAsia="微软雅黑" w:cs="微软雅黑"/>
          <w:i w:val="0"/>
          <w:iCs w:val="0"/>
          <w:caps w:val="0"/>
          <w:color w:val="3C3C3C"/>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四、财政拨款收入支出决算总体情况说明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2021年度财政拨款收、支总计</w:t>
      </w:r>
      <w:r>
        <w:rPr>
          <w:rFonts w:hint="eastAsia" w:ascii="微软雅黑" w:hAnsi="微软雅黑" w:eastAsia="微软雅黑" w:cs="微软雅黑"/>
          <w:i w:val="0"/>
          <w:iCs w:val="0"/>
          <w:caps w:val="0"/>
          <w:color w:val="3C3C3C"/>
          <w:spacing w:val="0"/>
          <w:sz w:val="24"/>
          <w:szCs w:val="24"/>
          <w:shd w:val="clear" w:fill="FFFFFF"/>
          <w:lang w:val="en-US" w:eastAsia="zh-CN"/>
        </w:rPr>
        <w:t>390.66</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主要原因是2021年由省直部门安排给农垦的农林水类资金增加，其中：2021年</w:t>
      </w:r>
      <w:r>
        <w:rPr>
          <w:rFonts w:hint="eastAsia" w:ascii="微软雅黑" w:hAnsi="微软雅黑" w:eastAsia="微软雅黑" w:cs="微软雅黑"/>
          <w:i w:val="0"/>
          <w:iCs w:val="0"/>
          <w:caps w:val="0"/>
          <w:color w:val="3C3C3C"/>
          <w:spacing w:val="0"/>
          <w:sz w:val="24"/>
          <w:szCs w:val="24"/>
          <w:shd w:val="clear" w:fill="FFFFFF"/>
          <w:lang w:val="en-US" w:eastAsia="zh-CN"/>
        </w:rPr>
        <w:t>农林水支出20.83</w:t>
      </w:r>
      <w:r>
        <w:rPr>
          <w:rFonts w:hint="eastAsia" w:ascii="微软雅黑" w:hAnsi="微软雅黑" w:eastAsia="微软雅黑" w:cs="微软雅黑"/>
          <w:i w:val="0"/>
          <w:iCs w:val="0"/>
          <w:caps w:val="0"/>
          <w:color w:val="3C3C3C"/>
          <w:spacing w:val="0"/>
          <w:sz w:val="24"/>
          <w:szCs w:val="24"/>
          <w:shd w:val="clear" w:fill="FFFFFF"/>
        </w:rPr>
        <w:t>万元；社会保障和就业支出</w:t>
      </w:r>
      <w:r>
        <w:rPr>
          <w:rFonts w:hint="eastAsia" w:ascii="微软雅黑" w:hAnsi="微软雅黑" w:eastAsia="微软雅黑" w:cs="微软雅黑"/>
          <w:i w:val="0"/>
          <w:iCs w:val="0"/>
          <w:caps w:val="0"/>
          <w:color w:val="3C3C3C"/>
          <w:spacing w:val="0"/>
          <w:sz w:val="24"/>
          <w:szCs w:val="24"/>
          <w:shd w:val="clear" w:fill="FFFFFF"/>
          <w:lang w:val="en-US" w:eastAsia="zh-CN"/>
        </w:rPr>
        <w:t>152.20万元；卫生健康支出20.59万元，住房保障支出1.71万元。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lang w:val="en-US" w:eastAsia="zh-CN"/>
        </w:rPr>
        <w:t>五、</w:t>
      </w:r>
      <w:r>
        <w:rPr>
          <w:rStyle w:val="5"/>
          <w:rFonts w:hint="eastAsia" w:ascii="微软雅黑" w:hAnsi="微软雅黑" w:eastAsia="微软雅黑" w:cs="微软雅黑"/>
          <w:i w:val="0"/>
          <w:iCs w:val="0"/>
          <w:caps w:val="0"/>
          <w:color w:val="3C3C3C"/>
          <w:spacing w:val="0"/>
          <w:sz w:val="24"/>
          <w:szCs w:val="24"/>
          <w:shd w:val="clear" w:fill="FFFFFF"/>
        </w:rPr>
        <w:t>一般公共预算财政拨款支出决算情况说明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rPr>
        <w:t>2021年度一般公共财政拨款支出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万元，占本年支出的100%，主要用于以下几个方面：社会保障和就业支出</w:t>
      </w:r>
      <w:r>
        <w:rPr>
          <w:rFonts w:hint="eastAsia" w:ascii="微软雅黑" w:hAnsi="微软雅黑" w:eastAsia="微软雅黑" w:cs="微软雅黑"/>
          <w:i w:val="0"/>
          <w:iCs w:val="0"/>
          <w:caps w:val="0"/>
          <w:color w:val="3C3C3C"/>
          <w:spacing w:val="0"/>
          <w:sz w:val="24"/>
          <w:szCs w:val="24"/>
          <w:shd w:val="clear" w:fill="FFFFFF"/>
          <w:lang w:val="en-US" w:eastAsia="zh-CN"/>
        </w:rPr>
        <w:t>152.20万元；</w:t>
      </w:r>
      <w:r>
        <w:rPr>
          <w:rFonts w:hint="eastAsia" w:ascii="微软雅黑" w:hAnsi="微软雅黑" w:eastAsia="微软雅黑" w:cs="微软雅黑"/>
          <w:i w:val="0"/>
          <w:iCs w:val="0"/>
          <w:caps w:val="0"/>
          <w:color w:val="3C3C3C"/>
          <w:spacing w:val="0"/>
          <w:sz w:val="24"/>
          <w:szCs w:val="24"/>
          <w:shd w:val="clear" w:fill="FFFFFF"/>
        </w:rPr>
        <w:t>支出决算为</w:t>
      </w:r>
      <w:r>
        <w:rPr>
          <w:rFonts w:hint="eastAsia" w:ascii="微软雅黑" w:hAnsi="微软雅黑" w:eastAsia="微软雅黑" w:cs="微软雅黑"/>
          <w:i w:val="0"/>
          <w:iCs w:val="0"/>
          <w:caps w:val="0"/>
          <w:color w:val="3C3C3C"/>
          <w:spacing w:val="0"/>
          <w:sz w:val="24"/>
          <w:szCs w:val="24"/>
          <w:shd w:val="clear" w:fill="FFFFFF"/>
          <w:lang w:val="en-US" w:eastAsia="zh-CN"/>
        </w:rPr>
        <w:t>20.59</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农林水支出支出决算为</w:t>
      </w:r>
      <w:r>
        <w:rPr>
          <w:rFonts w:hint="eastAsia" w:ascii="微软雅黑" w:hAnsi="微软雅黑" w:eastAsia="微软雅黑" w:cs="微软雅黑"/>
          <w:i w:val="0"/>
          <w:iCs w:val="0"/>
          <w:caps w:val="0"/>
          <w:color w:val="3C3C3C"/>
          <w:spacing w:val="0"/>
          <w:sz w:val="24"/>
          <w:szCs w:val="24"/>
          <w:shd w:val="clear" w:fill="FFFFFF"/>
          <w:lang w:val="en-US" w:eastAsia="zh-CN"/>
        </w:rPr>
        <w:t>20.83</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r>
        <w:rPr>
          <w:rFonts w:hint="eastAsia" w:ascii="微软雅黑" w:hAnsi="微软雅黑" w:eastAsia="微软雅黑" w:cs="微软雅黑"/>
          <w:i w:val="0"/>
          <w:iCs w:val="0"/>
          <w:caps w:val="0"/>
          <w:color w:val="3C3C3C"/>
          <w:spacing w:val="0"/>
          <w:sz w:val="24"/>
          <w:szCs w:val="24"/>
          <w:shd w:val="clear" w:fill="FFFFFF"/>
        </w:rPr>
        <w:t>住房保障支出年初预算</w:t>
      </w:r>
      <w:r>
        <w:rPr>
          <w:rFonts w:hint="eastAsia" w:ascii="微软雅黑" w:hAnsi="微软雅黑" w:eastAsia="微软雅黑" w:cs="微软雅黑"/>
          <w:i w:val="0"/>
          <w:iCs w:val="0"/>
          <w:caps w:val="0"/>
          <w:color w:val="3C3C3C"/>
          <w:spacing w:val="0"/>
          <w:sz w:val="24"/>
          <w:szCs w:val="24"/>
          <w:shd w:val="clear" w:fill="FFFFFF"/>
          <w:lang w:val="en-US" w:eastAsia="zh-CN"/>
        </w:rPr>
        <w:t>1.71</w:t>
      </w:r>
      <w:r>
        <w:rPr>
          <w:rFonts w:hint="eastAsia" w:ascii="微软雅黑" w:hAnsi="微软雅黑" w:eastAsia="微软雅黑" w:cs="微软雅黑"/>
          <w:i w:val="0"/>
          <w:iCs w:val="0"/>
          <w:caps w:val="0"/>
          <w:color w:val="3C3C3C"/>
          <w:spacing w:val="0"/>
          <w:sz w:val="24"/>
          <w:szCs w:val="24"/>
          <w:shd w:val="clear" w:fill="FFFFFF"/>
        </w:rPr>
        <w:t>万元</w:t>
      </w:r>
      <w:r>
        <w:rPr>
          <w:rFonts w:hint="eastAsia" w:ascii="微软雅黑" w:hAnsi="微软雅黑" w:eastAsia="微软雅黑" w:cs="微软雅黑"/>
          <w:i w:val="0"/>
          <w:iCs w:val="0"/>
          <w:caps w:val="0"/>
          <w:color w:val="3C3C3C"/>
          <w:spacing w:val="0"/>
          <w:sz w:val="24"/>
          <w:szCs w:val="2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六、一般公共预算财政拨款基本支出决算情况说明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2021年度一般公共预算财政拨款基本支出</w:t>
      </w:r>
      <w:r>
        <w:rPr>
          <w:rFonts w:hint="eastAsia" w:ascii="微软雅黑" w:hAnsi="微软雅黑" w:eastAsia="微软雅黑" w:cs="微软雅黑"/>
          <w:i w:val="0"/>
          <w:iCs w:val="0"/>
          <w:caps w:val="0"/>
          <w:color w:val="3C3C3C"/>
          <w:spacing w:val="0"/>
          <w:sz w:val="24"/>
          <w:szCs w:val="24"/>
          <w:shd w:val="clear" w:fill="FFFFFF"/>
          <w:lang w:val="en-US" w:eastAsia="zh-CN"/>
        </w:rPr>
        <w:t>195.33</w:t>
      </w:r>
      <w:r>
        <w:rPr>
          <w:rFonts w:hint="eastAsia" w:ascii="微软雅黑" w:hAnsi="微软雅黑" w:eastAsia="微软雅黑" w:cs="微软雅黑"/>
          <w:i w:val="0"/>
          <w:iCs w:val="0"/>
          <w:caps w:val="0"/>
          <w:color w:val="3C3C3C"/>
          <w:spacing w:val="0"/>
          <w:sz w:val="24"/>
          <w:szCs w:val="24"/>
          <w:shd w:val="clear" w:fill="FFFFFF"/>
        </w:rPr>
        <w:t>万元。其中：人员经费</w:t>
      </w:r>
      <w:r>
        <w:rPr>
          <w:rFonts w:hint="eastAsia" w:ascii="微软雅黑" w:hAnsi="微软雅黑" w:eastAsia="微软雅黑" w:cs="微软雅黑"/>
          <w:i w:val="0"/>
          <w:iCs w:val="0"/>
          <w:caps w:val="0"/>
          <w:color w:val="3C3C3C"/>
          <w:spacing w:val="0"/>
          <w:sz w:val="24"/>
          <w:szCs w:val="24"/>
          <w:shd w:val="clear" w:fill="FFFFFF"/>
          <w:lang w:val="en-US" w:eastAsia="zh-CN"/>
        </w:rPr>
        <w:t>192.88</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43.52</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18.41</w:t>
      </w:r>
      <w:r>
        <w:rPr>
          <w:rFonts w:hint="eastAsia" w:ascii="微软雅黑" w:hAnsi="微软雅黑" w:eastAsia="微软雅黑" w:cs="微软雅黑"/>
          <w:i w:val="0"/>
          <w:iCs w:val="0"/>
          <w:caps w:val="0"/>
          <w:color w:val="3C3C3C"/>
          <w:spacing w:val="0"/>
          <w:sz w:val="24"/>
          <w:szCs w:val="24"/>
          <w:shd w:val="clear" w:fill="FFFFFF"/>
        </w:rPr>
        <w:t>%，主要原因是人员减少，导致基本支出减少。人员经费用途主要包括在职人员工资福利支出、离退休人员工资、津贴补贴、各类社会保险等。公用经费</w:t>
      </w:r>
      <w:r>
        <w:rPr>
          <w:rFonts w:hint="eastAsia" w:ascii="微软雅黑" w:hAnsi="微软雅黑" w:eastAsia="微软雅黑" w:cs="微软雅黑"/>
          <w:i w:val="0"/>
          <w:iCs w:val="0"/>
          <w:caps w:val="0"/>
          <w:color w:val="3C3C3C"/>
          <w:spacing w:val="0"/>
          <w:sz w:val="24"/>
          <w:szCs w:val="24"/>
          <w:shd w:val="clear" w:fill="FFFFFF"/>
          <w:lang w:val="en-US" w:eastAsia="zh-CN"/>
        </w:rPr>
        <w:t>2.45</w:t>
      </w:r>
      <w:r>
        <w:rPr>
          <w:rFonts w:hint="eastAsia" w:ascii="微软雅黑" w:hAnsi="微软雅黑" w:eastAsia="微软雅黑" w:cs="微软雅黑"/>
          <w:i w:val="0"/>
          <w:iCs w:val="0"/>
          <w:caps w:val="0"/>
          <w:color w:val="3C3C3C"/>
          <w:spacing w:val="0"/>
          <w:sz w:val="24"/>
          <w:szCs w:val="24"/>
          <w:shd w:val="clear" w:fill="FFFFFF"/>
        </w:rPr>
        <w:t>万元，较上年决算数减少</w:t>
      </w:r>
      <w:r>
        <w:rPr>
          <w:rFonts w:hint="eastAsia" w:ascii="微软雅黑" w:hAnsi="微软雅黑" w:eastAsia="微软雅黑" w:cs="微软雅黑"/>
          <w:i w:val="0"/>
          <w:iCs w:val="0"/>
          <w:caps w:val="0"/>
          <w:color w:val="3C3C3C"/>
          <w:spacing w:val="0"/>
          <w:sz w:val="24"/>
          <w:szCs w:val="24"/>
          <w:shd w:val="clear" w:fill="FFFFFF"/>
          <w:lang w:val="en-US" w:eastAsia="zh-CN"/>
        </w:rPr>
        <w:t>0.97</w:t>
      </w:r>
      <w:r>
        <w:rPr>
          <w:rFonts w:hint="eastAsia" w:ascii="微软雅黑" w:hAnsi="微软雅黑" w:eastAsia="微软雅黑" w:cs="微软雅黑"/>
          <w:i w:val="0"/>
          <w:iCs w:val="0"/>
          <w:caps w:val="0"/>
          <w:color w:val="3C3C3C"/>
          <w:spacing w:val="0"/>
          <w:sz w:val="24"/>
          <w:szCs w:val="24"/>
          <w:shd w:val="clear" w:fill="FFFFFF"/>
        </w:rPr>
        <w:t>万元，主要原因是本部门属于改制单位，编办再不核编，在职人员实行“只出不进”的原则，公用经费预算较2020年减少，同时部门严格落实“过紧日子”的相关规定，压降费用支出。公用经费用途主要包括办公费、印刷费、咨询费、手续费、水费、电费、物业费、邮电费、差旅费等各项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七、一般公共预算财政拨款“三公”经费支出决算情况说明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（一）“三公”经费财政拨款支出总体情况说明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auto"/>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2021年度“三公”经费年初预算数为</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万元，支出决算</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w:t>
      </w:r>
      <w:r>
        <w:rPr>
          <w:rFonts w:hint="eastAsia" w:ascii="微软雅黑" w:hAnsi="微软雅黑" w:eastAsia="微软雅黑" w:cs="微软雅黑"/>
          <w:i w:val="0"/>
          <w:iCs w:val="0"/>
          <w:caps w:val="0"/>
          <w:color w:val="auto"/>
          <w:spacing w:val="0"/>
          <w:sz w:val="24"/>
          <w:szCs w:val="24"/>
          <w:shd w:val="clear" w:fill="FFFFFF"/>
        </w:rPr>
        <w:t>较上年支出数下降0.</w:t>
      </w:r>
      <w:r>
        <w:rPr>
          <w:rFonts w:hint="eastAsia" w:ascii="微软雅黑" w:hAnsi="微软雅黑" w:eastAsia="微软雅黑" w:cs="微软雅黑"/>
          <w:i w:val="0"/>
          <w:iCs w:val="0"/>
          <w:caps w:val="0"/>
          <w:color w:val="auto"/>
          <w:spacing w:val="0"/>
          <w:sz w:val="24"/>
          <w:szCs w:val="24"/>
          <w:shd w:val="clear" w:fill="FFFFFF"/>
          <w:lang w:val="en-US" w:eastAsia="zh-CN"/>
        </w:rPr>
        <w:t>14</w:t>
      </w:r>
      <w:r>
        <w:rPr>
          <w:rFonts w:hint="eastAsia" w:ascii="微软雅黑" w:hAnsi="微软雅黑" w:eastAsia="微软雅黑" w:cs="微软雅黑"/>
          <w:i w:val="0"/>
          <w:iCs w:val="0"/>
          <w:caps w:val="0"/>
          <w:color w:val="auto"/>
          <w:spacing w:val="0"/>
          <w:sz w:val="24"/>
          <w:szCs w:val="24"/>
          <w:shd w:val="clear" w:fill="FFFFFF"/>
        </w:rPr>
        <w:t>万元，下降</w:t>
      </w:r>
      <w:r>
        <w:rPr>
          <w:rFonts w:hint="eastAsia" w:ascii="微软雅黑" w:hAnsi="微软雅黑" w:eastAsia="微软雅黑" w:cs="微软雅黑"/>
          <w:i w:val="0"/>
          <w:iCs w:val="0"/>
          <w:caps w:val="0"/>
          <w:color w:val="auto"/>
          <w:spacing w:val="0"/>
          <w:sz w:val="24"/>
          <w:szCs w:val="24"/>
          <w:shd w:val="clear" w:fill="FFFFFF"/>
          <w:lang w:val="en-US" w:eastAsia="zh-CN"/>
        </w:rPr>
        <w:t>87.53</w:t>
      </w:r>
      <w:r>
        <w:rPr>
          <w:rFonts w:hint="eastAsia" w:ascii="微软雅黑" w:hAnsi="微软雅黑" w:eastAsia="微软雅黑" w:cs="微软雅黑"/>
          <w:i w:val="0"/>
          <w:iCs w:val="0"/>
          <w:caps w:val="0"/>
          <w:color w:val="auto"/>
          <w:spacing w:val="0"/>
          <w:sz w:val="24"/>
          <w:szCs w:val="24"/>
          <w:shd w:val="clear" w:fill="FFFFFF"/>
        </w:rPr>
        <w:t>%，主要原因是严格按照省委省政府的相关规定执行，本着严格控制、厉行节约的原则，公务接待费支出下降</w:t>
      </w:r>
      <w:r>
        <w:rPr>
          <w:rFonts w:hint="eastAsia" w:ascii="微软雅黑" w:hAnsi="微软雅黑" w:eastAsia="微软雅黑" w:cs="微软雅黑"/>
          <w:i w:val="0"/>
          <w:iCs w:val="0"/>
          <w:caps w:val="0"/>
          <w:color w:val="auto"/>
          <w:spacing w:val="0"/>
          <w:sz w:val="24"/>
          <w:szCs w:val="24"/>
          <w:shd w:val="clear" w:fill="FFFFFF"/>
          <w:lang w:val="en-US" w:eastAsia="zh-CN"/>
        </w:rPr>
        <w:t>87.53</w:t>
      </w:r>
      <w:r>
        <w:rPr>
          <w:rFonts w:hint="eastAsia" w:ascii="微软雅黑" w:hAnsi="微软雅黑" w:eastAsia="微软雅黑" w:cs="微软雅黑"/>
          <w:i w:val="0"/>
          <w:iCs w:val="0"/>
          <w:caps w:val="0"/>
          <w:color w:val="auto"/>
          <w:spacing w:val="0"/>
          <w:sz w:val="24"/>
          <w:szCs w:val="24"/>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（二）“三公”经费财政拨款支出决算具体情况说明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1、因公出国（境）费用年初预算0.00万元，支出决算数为0.00万元。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2、公务用车购置费和公务用车运行维护费年初预算0.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万元，较年初预算数无变化。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其中：公务用车购置费年初预算0.00万元，支出决算0.00万元。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公务用车运行维护费年初预算数为0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00</w:t>
      </w:r>
      <w:r>
        <w:rPr>
          <w:rFonts w:hint="eastAsia" w:ascii="微软雅黑" w:hAnsi="微软雅黑" w:eastAsia="微软雅黑" w:cs="微软雅黑"/>
          <w:i w:val="0"/>
          <w:iCs w:val="0"/>
          <w:caps w:val="0"/>
          <w:color w:val="3C3C3C"/>
          <w:spacing w:val="0"/>
          <w:sz w:val="24"/>
          <w:szCs w:val="24"/>
          <w:shd w:val="clear" w:fill="FFFFFF"/>
        </w:rPr>
        <w:t>万元，完成年初预算的100%。主要用于机要文件交换、市内因公出行等工作所需车辆的燃料费、维修费、过桥过路费等，主要原因是坚持严格控制、厉行节约。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0000FF"/>
          <w:spacing w:val="0"/>
          <w:sz w:val="24"/>
          <w:szCs w:val="24"/>
        </w:rPr>
      </w:pPr>
      <w:r>
        <w:rPr>
          <w:rFonts w:hint="eastAsia" w:ascii="微软雅黑" w:hAnsi="微软雅黑" w:eastAsia="微软雅黑" w:cs="微软雅黑"/>
          <w:i w:val="0"/>
          <w:iCs w:val="0"/>
          <w:caps w:val="0"/>
          <w:color w:val="3C3C3C"/>
          <w:spacing w:val="0"/>
          <w:sz w:val="24"/>
          <w:szCs w:val="24"/>
          <w:shd w:val="clear" w:fill="FFFFFF"/>
        </w:rPr>
        <w:t>3、公务接待费年初预算</w:t>
      </w:r>
      <w:r>
        <w:rPr>
          <w:rFonts w:hint="eastAsia" w:ascii="微软雅黑" w:hAnsi="微软雅黑" w:eastAsia="微软雅黑" w:cs="微软雅黑"/>
          <w:i w:val="0"/>
          <w:iCs w:val="0"/>
          <w:caps w:val="0"/>
          <w:color w:val="3C3C3C"/>
          <w:spacing w:val="0"/>
          <w:sz w:val="24"/>
          <w:szCs w:val="24"/>
          <w:shd w:val="clear" w:fill="FFFFFF"/>
          <w:lang w:val="en-US" w:eastAsia="zh-CN"/>
        </w:rPr>
        <w:t>0.02</w:t>
      </w:r>
      <w:r>
        <w:rPr>
          <w:rFonts w:hint="eastAsia" w:ascii="微软雅黑" w:hAnsi="微软雅黑" w:eastAsia="微软雅黑" w:cs="微软雅黑"/>
          <w:i w:val="0"/>
          <w:iCs w:val="0"/>
          <w:caps w:val="0"/>
          <w:color w:val="3C3C3C"/>
          <w:spacing w:val="0"/>
          <w:sz w:val="24"/>
          <w:szCs w:val="24"/>
          <w:shd w:val="clear" w:fill="FFFFFF"/>
        </w:rPr>
        <w:t>万元，支出决算数为0</w:t>
      </w:r>
      <w:r>
        <w:rPr>
          <w:rFonts w:hint="eastAsia" w:ascii="微软雅黑" w:hAnsi="微软雅黑" w:eastAsia="微软雅黑" w:cs="微软雅黑"/>
          <w:i w:val="0"/>
          <w:iCs w:val="0"/>
          <w:caps w:val="0"/>
          <w:color w:val="3C3C3C"/>
          <w:spacing w:val="0"/>
          <w:sz w:val="24"/>
          <w:szCs w:val="24"/>
          <w:shd w:val="clear" w:fill="FFFFFF"/>
          <w:lang w:val="en-US" w:eastAsia="zh-CN"/>
        </w:rPr>
        <w:t>.02</w:t>
      </w:r>
      <w:r>
        <w:rPr>
          <w:rFonts w:hint="eastAsia" w:ascii="微软雅黑" w:hAnsi="微软雅黑" w:eastAsia="微软雅黑" w:cs="微软雅黑"/>
          <w:i w:val="0"/>
          <w:iCs w:val="0"/>
          <w:caps w:val="0"/>
          <w:color w:val="3C3C3C"/>
          <w:spacing w:val="0"/>
          <w:sz w:val="24"/>
          <w:szCs w:val="24"/>
          <w:shd w:val="clear" w:fill="FFFFFF"/>
        </w:rPr>
        <w:t>万元，完成年初预算的100%，较年初预算数无变化。主要是上级部门及省外其他垦区来甘肃垦区调研、交流学习等接待方面的支出。较上年支出数减少0.1</w:t>
      </w:r>
      <w:r>
        <w:rPr>
          <w:rFonts w:hint="eastAsia" w:ascii="微软雅黑" w:hAnsi="微软雅黑" w:eastAsia="微软雅黑" w:cs="微软雅黑"/>
          <w:i w:val="0"/>
          <w:iCs w:val="0"/>
          <w:caps w:val="0"/>
          <w:color w:val="3C3C3C"/>
          <w:spacing w:val="0"/>
          <w:sz w:val="24"/>
          <w:szCs w:val="24"/>
          <w:shd w:val="clear" w:fill="FFFFFF"/>
          <w:lang w:val="en-US" w:eastAsia="zh-CN"/>
        </w:rPr>
        <w:t>6</w:t>
      </w:r>
      <w:r>
        <w:rPr>
          <w:rFonts w:hint="eastAsia" w:ascii="微软雅黑" w:hAnsi="微软雅黑" w:eastAsia="微软雅黑" w:cs="微软雅黑"/>
          <w:i w:val="0"/>
          <w:iCs w:val="0"/>
          <w:caps w:val="0"/>
          <w:color w:val="3C3C3C"/>
          <w:spacing w:val="0"/>
          <w:sz w:val="24"/>
          <w:szCs w:val="24"/>
          <w:shd w:val="clear" w:fill="FFFFFF"/>
        </w:rPr>
        <w:t>万元，下降</w:t>
      </w:r>
      <w:r>
        <w:rPr>
          <w:rFonts w:hint="eastAsia" w:ascii="微软雅黑" w:hAnsi="微软雅黑" w:eastAsia="微软雅黑" w:cs="微软雅黑"/>
          <w:i w:val="0"/>
          <w:iCs w:val="0"/>
          <w:caps w:val="0"/>
          <w:color w:val="3C3C3C"/>
          <w:spacing w:val="0"/>
          <w:sz w:val="24"/>
          <w:szCs w:val="24"/>
          <w:shd w:val="clear" w:fill="FFFFFF"/>
          <w:lang w:val="en-US" w:eastAsia="zh-CN"/>
        </w:rPr>
        <w:t>87.53</w:t>
      </w:r>
      <w:r>
        <w:rPr>
          <w:rFonts w:hint="eastAsia" w:ascii="微软雅黑" w:hAnsi="微软雅黑" w:eastAsia="微软雅黑" w:cs="微软雅黑"/>
          <w:i w:val="0"/>
          <w:iCs w:val="0"/>
          <w:caps w:val="0"/>
          <w:color w:val="3C3C3C"/>
          <w:spacing w:val="0"/>
          <w:sz w:val="24"/>
          <w:szCs w:val="24"/>
          <w:shd w:val="clear" w:fill="FFFFFF"/>
        </w:rPr>
        <w:t>%，主要原因是严格按照八项规定的要求，坚持严格控制、厉行节约。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（三）“三公”经费财政拨款支出决算实物量情况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2021年度本部门因公出国（境）共计0个团组，0人；公务用车购置0辆，公务车保有量</w:t>
      </w:r>
      <w:r>
        <w:rPr>
          <w:rFonts w:hint="eastAsia" w:ascii="微软雅黑" w:hAnsi="微软雅黑" w:eastAsia="微软雅黑" w:cs="微软雅黑"/>
          <w:i w:val="0"/>
          <w:iCs w:val="0"/>
          <w:caps w:val="0"/>
          <w:color w:val="3C3C3C"/>
          <w:spacing w:val="0"/>
          <w:sz w:val="24"/>
          <w:szCs w:val="24"/>
          <w:shd w:val="clear" w:fill="FFFFFF"/>
          <w:lang w:val="en-US" w:eastAsia="zh-CN"/>
        </w:rPr>
        <w:t>0</w:t>
      </w:r>
      <w:r>
        <w:rPr>
          <w:rFonts w:hint="eastAsia" w:ascii="微软雅黑" w:hAnsi="微软雅黑" w:eastAsia="微软雅黑" w:cs="微软雅黑"/>
          <w:i w:val="0"/>
          <w:iCs w:val="0"/>
          <w:caps w:val="0"/>
          <w:color w:val="3C3C3C"/>
          <w:spacing w:val="0"/>
          <w:sz w:val="24"/>
          <w:szCs w:val="24"/>
          <w:shd w:val="clear" w:fill="FFFFFF"/>
        </w:rPr>
        <w:t>辆；国内外事接待国内外事接待0批次，0人；国（境）外公务接待0批次，0人。</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机关运行经费支出情况说明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无机关运行经费支出</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政府采购支出情况说明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Style w:val="5"/>
          <w:rFonts w:hint="eastAsia" w:ascii="微软雅黑" w:hAnsi="微软雅黑" w:eastAsia="微软雅黑" w:cs="微软雅黑"/>
          <w:i w:val="0"/>
          <w:iCs w:val="0"/>
          <w:caps w:val="0"/>
          <w:color w:val="3C3C3C"/>
          <w:spacing w:val="0"/>
          <w:sz w:val="24"/>
          <w:szCs w:val="24"/>
          <w:shd w:val="clear" w:fill="FFFFFF"/>
        </w:rPr>
      </w:pPr>
      <w:r>
        <w:rPr>
          <w:rFonts w:hint="eastAsia" w:ascii="微软雅黑" w:hAnsi="微软雅黑" w:eastAsia="微软雅黑" w:cs="微软雅黑"/>
          <w:i w:val="0"/>
          <w:iCs w:val="0"/>
          <w:caps w:val="0"/>
          <w:color w:val="3C3C3C"/>
          <w:spacing w:val="0"/>
          <w:sz w:val="24"/>
          <w:szCs w:val="24"/>
          <w:shd w:val="clear" w:fill="FFFFFF"/>
          <w:lang w:val="en-US" w:eastAsia="zh-CN"/>
        </w:rPr>
        <w:t>无政府采购支出</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leftChars="0" w:right="0" w:firstLine="420" w:firstLineChars="0"/>
        <w:jc w:val="left"/>
        <w:rPr>
          <w:rStyle w:val="5"/>
          <w:rFonts w:hint="eastAsia" w:ascii="微软雅黑" w:hAnsi="微软雅黑" w:eastAsia="微软雅黑" w:cs="微软雅黑"/>
          <w:i w:val="0"/>
          <w:iCs w:val="0"/>
          <w:caps w:val="0"/>
          <w:color w:val="3C3C3C"/>
          <w:spacing w:val="0"/>
          <w:sz w:val="24"/>
          <w:szCs w:val="24"/>
          <w:shd w:val="clear" w:fill="FFFFFF"/>
        </w:rPr>
      </w:pPr>
      <w:r>
        <w:rPr>
          <w:rStyle w:val="5"/>
          <w:rFonts w:hint="eastAsia" w:ascii="微软雅黑" w:hAnsi="微软雅黑" w:eastAsia="微软雅黑" w:cs="微软雅黑"/>
          <w:i w:val="0"/>
          <w:iCs w:val="0"/>
          <w:caps w:val="0"/>
          <w:color w:val="3C3C3C"/>
          <w:spacing w:val="0"/>
          <w:sz w:val="24"/>
          <w:szCs w:val="24"/>
          <w:shd w:val="clear" w:fill="FFFFFF"/>
        </w:rPr>
        <w:t>国有资产占用情况说明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无国有资产占用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十一、政府性基金预算财政拨款收支决算情况说明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无政府性基金收入，也没有使用政府性基金安排的支出。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十二、国有资本经营预算财政拨款支出情况说明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lang w:val="en-US" w:eastAsia="zh-CN"/>
        </w:rPr>
        <w:t>无</w:t>
      </w:r>
      <w:r>
        <w:rPr>
          <w:rFonts w:hint="eastAsia" w:ascii="微软雅黑" w:hAnsi="微软雅黑" w:eastAsia="微软雅黑" w:cs="微软雅黑"/>
          <w:i w:val="0"/>
          <w:iCs w:val="0"/>
          <w:caps w:val="0"/>
          <w:color w:val="3C3C3C"/>
          <w:spacing w:val="0"/>
          <w:sz w:val="24"/>
          <w:szCs w:val="24"/>
          <w:shd w:val="clear" w:fill="FFFFFF"/>
        </w:rPr>
        <w:t>使用国有资本经营预算安排的支出。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十三、预算绩效情况说明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（1）绩效管理评价工作开展情况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根据预算绩效管理要求，本部门2021年度预算绩效整体评级为“良好”，各项指标均按照年初计划实施完成，基本支出全部用于农垦系统事业身份在职和离退休人员养老金、津补贴等经费支出，为做好农垦系统事业人员管理工作提供了资金保障，确保农垦事业稳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（2）部门决算中项目绩效自评结果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我部门今年在省级部门决算中反映 “欠发达国有农场巩固提升项目”和“国有农场税费改革”项目绩效自评结果。项目支出绩效情况较为理想，均达到了项目申请时设定的各项绩效目标，各项工作有序开展；项目业务管理制度较完善，业务监控有效性较好；财务管理制度规范，建立了相应的财务监控措施和手段，任务完成质量较高、效果完成情况较好。存在的问题是个别项目初验不合格，导致与年初设置绩效目标有偏差；下一步改进措施是加大项目监督检查力度，确保项目过程资料齐全、项目按进度完工，并完成竣工验收和绩效评价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（3）财政评价项目绩效评价结果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Fonts w:hint="eastAsia" w:ascii="微软雅黑" w:hAnsi="微软雅黑" w:eastAsia="微软雅黑" w:cs="微软雅黑"/>
          <w:i w:val="0"/>
          <w:iCs w:val="0"/>
          <w:caps w:val="0"/>
          <w:color w:val="3C3C3C"/>
          <w:spacing w:val="0"/>
          <w:sz w:val="24"/>
          <w:szCs w:val="24"/>
          <w:shd w:val="clear" w:fill="FFFFFF"/>
        </w:rPr>
        <w:t>经财政厅审核，本部门2021年度“国有农场税费改革项目”绩效评级为“优秀”，“欠发达国有农场巩固提升项目”绩效评级为“良好”。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（4）部门评价项目绩效评价结果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default" w:ascii="微软雅黑" w:hAnsi="微软雅黑" w:eastAsia="微软雅黑" w:cs="微软雅黑"/>
          <w:i w:val="0"/>
          <w:iCs w:val="0"/>
          <w:caps w:val="0"/>
          <w:color w:val="3C3C3C"/>
          <w:spacing w:val="0"/>
          <w:sz w:val="24"/>
          <w:szCs w:val="24"/>
          <w:shd w:val="clear" w:fill="FFFFFF"/>
          <w:lang w:val="en-US" w:eastAsia="zh-CN"/>
        </w:rPr>
      </w:pPr>
      <w:r>
        <w:rPr>
          <w:rFonts w:hint="eastAsia" w:ascii="微软雅黑" w:hAnsi="微软雅黑" w:eastAsia="微软雅黑" w:cs="微软雅黑"/>
          <w:i w:val="0"/>
          <w:iCs w:val="0"/>
          <w:caps w:val="0"/>
          <w:color w:val="3C3C3C"/>
          <w:spacing w:val="0"/>
          <w:sz w:val="24"/>
          <w:szCs w:val="24"/>
          <w:shd w:val="clear" w:fill="FFFFFF"/>
          <w:lang w:val="en-US" w:eastAsia="zh-CN"/>
        </w:rPr>
        <w:t>本部门无评价项目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第四部分   名词解释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一、财政拨款收入：</w:t>
      </w:r>
      <w:r>
        <w:rPr>
          <w:rFonts w:hint="eastAsia" w:ascii="微软雅黑" w:hAnsi="微软雅黑" w:eastAsia="微软雅黑" w:cs="微软雅黑"/>
          <w:i w:val="0"/>
          <w:iCs w:val="0"/>
          <w:caps w:val="0"/>
          <w:color w:val="3C3C3C"/>
          <w:spacing w:val="0"/>
          <w:sz w:val="24"/>
          <w:szCs w:val="24"/>
          <w:shd w:val="clear" w:fill="FFFFFF"/>
        </w:rPr>
        <w:t>指本年度从本级财政部门取得的财政拨款，包括一般公共预算财政拨款和政府性基金预算财政拨款。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二、事业收入：</w:t>
      </w:r>
      <w:r>
        <w:rPr>
          <w:rFonts w:hint="eastAsia" w:ascii="微软雅黑" w:hAnsi="微软雅黑" w:eastAsia="微软雅黑" w:cs="微软雅黑"/>
          <w:i w:val="0"/>
          <w:iCs w:val="0"/>
          <w:caps w:val="0"/>
          <w:color w:val="3C3C3C"/>
          <w:spacing w:val="0"/>
          <w:sz w:val="24"/>
          <w:szCs w:val="24"/>
          <w:shd w:val="clear" w:fill="FFFFFF"/>
        </w:rPr>
        <w:t>指事业单位开展专业业务活动及其辅助活动取得的现金流入；事业单位收到的财政专户实际核拨的教育收费等资金在此反映。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三、经营收入：</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指事业单位在专业业务活动及其辅助活动之外开展非独立核算经营活动取得的现金流入。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四、其他收入：</w:t>
      </w:r>
      <w:r>
        <w:rPr>
          <w:rFonts w:hint="eastAsia" w:ascii="微软雅黑" w:hAnsi="微软雅黑" w:eastAsia="微软雅黑" w:cs="微软雅黑"/>
          <w:i w:val="0"/>
          <w:iCs w:val="0"/>
          <w:caps w:val="0"/>
          <w:color w:val="3C3C3C"/>
          <w:spacing w:val="0"/>
          <w:sz w:val="24"/>
          <w:szCs w:val="24"/>
          <w:shd w:val="clear" w:fill="FFFFFF"/>
        </w:rPr>
        <w:t>指单位取得的除“财政拨款收入”、“事业收入”、“经营收入”等以外 的收入，包括未纳入财政预算或财政专户管理的投资收益、银行存款利息收入、租金收入、捐赠收入，现金盘盈收入、存货盘盈收入、收回已核销的应收及预付款 项、无法偿付的应付及预收款项等。各单位从本级财政部门以外的同级单位取得的经费、从非本级财政部门取得的经费，以及行政单位收到的财政专户管理资金反映 在本项内。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五、年初结转和结余：</w:t>
      </w:r>
      <w:r>
        <w:rPr>
          <w:rFonts w:hint="eastAsia" w:ascii="微软雅黑" w:hAnsi="微软雅黑" w:eastAsia="微软雅黑" w:cs="微软雅黑"/>
          <w:i w:val="0"/>
          <w:iCs w:val="0"/>
          <w:caps w:val="0"/>
          <w:color w:val="3C3C3C"/>
          <w:spacing w:val="0"/>
          <w:sz w:val="24"/>
          <w:szCs w:val="24"/>
          <w:shd w:val="clear" w:fill="FFFFFF"/>
        </w:rPr>
        <w:t>指单位上年结转本年使用的基本支出结转、项目支出结转和结余、经营结余。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六、结余分配：</w:t>
      </w:r>
      <w:r>
        <w:rPr>
          <w:rFonts w:hint="eastAsia" w:ascii="微软雅黑" w:hAnsi="微软雅黑" w:eastAsia="微软雅黑" w:cs="微软雅黑"/>
          <w:i w:val="0"/>
          <w:iCs w:val="0"/>
          <w:caps w:val="0"/>
          <w:color w:val="3C3C3C"/>
          <w:spacing w:val="0"/>
          <w:sz w:val="24"/>
          <w:szCs w:val="24"/>
          <w:shd w:val="clear" w:fill="FFFFFF"/>
        </w:rPr>
        <w:t>指单位按照国家有关规定，缴纳所得税、提取专用基金、转入事业基金等当年结余的分配情况。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七、年末结转和结余：</w:t>
      </w:r>
      <w:r>
        <w:rPr>
          <w:rFonts w:hint="eastAsia" w:ascii="微软雅黑" w:hAnsi="微软雅黑" w:eastAsia="微软雅黑" w:cs="微软雅黑"/>
          <w:i w:val="0"/>
          <w:iCs w:val="0"/>
          <w:caps w:val="0"/>
          <w:color w:val="3C3C3C"/>
          <w:spacing w:val="0"/>
          <w:sz w:val="24"/>
          <w:szCs w:val="24"/>
          <w:shd w:val="clear" w:fill="FFFFFF"/>
        </w:rPr>
        <w:t>指单位结转下年的基本支出结转、项目支出结转和结余、经营结余。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八、基本支出：</w:t>
      </w:r>
      <w:r>
        <w:rPr>
          <w:rFonts w:hint="eastAsia" w:ascii="微软雅黑" w:hAnsi="微软雅黑" w:eastAsia="微软雅黑" w:cs="微软雅黑"/>
          <w:i w:val="0"/>
          <w:iCs w:val="0"/>
          <w:caps w:val="0"/>
          <w:color w:val="3C3C3C"/>
          <w:spacing w:val="0"/>
          <w:sz w:val="24"/>
          <w:szCs w:val="24"/>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九、项目支出：</w:t>
      </w:r>
      <w:r>
        <w:rPr>
          <w:rFonts w:hint="eastAsia" w:ascii="微软雅黑" w:hAnsi="微软雅黑" w:eastAsia="微软雅黑" w:cs="微软雅黑"/>
          <w:i w:val="0"/>
          <w:iCs w:val="0"/>
          <w:caps w:val="0"/>
          <w:color w:val="3C3C3C"/>
          <w:spacing w:val="0"/>
          <w:sz w:val="24"/>
          <w:szCs w:val="24"/>
          <w:shd w:val="clear" w:fill="FFFFFF"/>
        </w:rPr>
        <w:t>指在基本支出之外为完成特定行政任务和事业发展目标所发生的支出。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十、经营支出：</w:t>
      </w:r>
      <w:r>
        <w:rPr>
          <w:rFonts w:hint="eastAsia" w:ascii="微软雅黑" w:hAnsi="微软雅黑" w:eastAsia="微软雅黑" w:cs="微软雅黑"/>
          <w:i w:val="0"/>
          <w:iCs w:val="0"/>
          <w:caps w:val="0"/>
          <w:color w:val="3C3C3C"/>
          <w:spacing w:val="0"/>
          <w:sz w:val="24"/>
          <w:szCs w:val="24"/>
          <w:shd w:val="clear" w:fill="FFFFFF"/>
        </w:rPr>
        <w:t>指事业单位在专业业务活动及其辅助活动之外开展非独立核算经营活动发生的支出。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十一、“三公”经费： </w:t>
      </w:r>
      <w:r>
        <w:rPr>
          <w:rFonts w:hint="eastAsia" w:ascii="微软雅黑" w:hAnsi="微软雅黑" w:eastAsia="微软雅黑" w:cs="微软雅黑"/>
          <w:i w:val="0"/>
          <w:iCs w:val="0"/>
          <w:caps w:val="0"/>
          <w:color w:val="3C3C3C"/>
          <w:spacing w:val="0"/>
          <w:sz w:val="24"/>
          <w:szCs w:val="24"/>
          <w:shd w:val="clear" w:fill="FFFFFF"/>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十二、机关运行经费：</w:t>
      </w:r>
      <w:r>
        <w:rPr>
          <w:rFonts w:hint="eastAsia" w:ascii="微软雅黑" w:hAnsi="微软雅黑" w:eastAsia="微软雅黑" w:cs="微软雅黑"/>
          <w:i w:val="0"/>
          <w:iCs w:val="0"/>
          <w:caps w:val="0"/>
          <w:color w:val="3C3C3C"/>
          <w:spacing w:val="0"/>
          <w:sz w:val="24"/>
          <w:szCs w:val="24"/>
          <w:shd w:val="clear" w:fill="FFFFFF"/>
        </w:rPr>
        <w:t>为保障行政单位（含参照公务员法管理的事业单位）运行用于购买 货物和服务等的各项公用经费，包括办公及印刷费、邮电费、差旅费、会议费、福利费、日常维护费、专用材料及一般设备购置费、办公用房水电费、办公用房取暖 费、办公用房物业管理费、公务用车运行维护费以及其他费用。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十三、工资福利支出（支出经济分类科目类级）：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反映单位开支的在职职工和编制外长期聘用人员的各类劳动报酬，以及为上述人员缴纳的各项社会保险费等。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十四、商品和服务支出（支出经济分类科目类级）：</w:t>
      </w:r>
      <w:r>
        <w:rPr>
          <w:rFonts w:hint="eastAsia" w:ascii="微软雅黑" w:hAnsi="微软雅黑" w:eastAsia="微软雅黑" w:cs="微软雅黑"/>
          <w:i w:val="0"/>
          <w:iCs w:val="0"/>
          <w:caps w:val="0"/>
          <w:color w:val="3C3C3C"/>
          <w:spacing w:val="0"/>
          <w:sz w:val="24"/>
          <w:szCs w:val="24"/>
          <w:shd w:val="clear" w:fill="FFFFFF"/>
        </w:rPr>
        <w:t>反映单位购买商品和服务的支出（不包括用于购置固定资产的支出、战略性和应急储备支出）。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十五、对个人和家庭的补助（支出经济分类科目类级）：</w:t>
      </w:r>
      <w:r>
        <w:rPr>
          <w:rFonts w:hint="eastAsia" w:ascii="微软雅黑" w:hAnsi="微软雅黑" w:eastAsia="微软雅黑" w:cs="微软雅黑"/>
          <w:i w:val="0"/>
          <w:iCs w:val="0"/>
          <w:caps w:val="0"/>
          <w:color w:val="3C3C3C"/>
          <w:spacing w:val="0"/>
          <w:sz w:val="24"/>
          <w:szCs w:val="24"/>
          <w:shd w:val="clear" w:fill="FFFFFF"/>
        </w:rPr>
        <w:t>反映用于对个人和家庭的补助支出。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675" w:lineRule="atLeast"/>
        <w:ind w:left="0" w:right="0" w:firstLine="420"/>
        <w:jc w:val="left"/>
        <w:rPr>
          <w:rFonts w:hint="eastAsia" w:ascii="微软雅黑" w:hAnsi="微软雅黑" w:eastAsia="微软雅黑" w:cs="微软雅黑"/>
          <w:i w:val="0"/>
          <w:iCs w:val="0"/>
          <w:caps w:val="0"/>
          <w:color w:val="3C3C3C"/>
          <w:spacing w:val="0"/>
          <w:sz w:val="24"/>
          <w:szCs w:val="24"/>
        </w:rPr>
      </w:pPr>
      <w:r>
        <w:rPr>
          <w:rStyle w:val="5"/>
          <w:rFonts w:hint="eastAsia" w:ascii="微软雅黑" w:hAnsi="微软雅黑" w:eastAsia="微软雅黑" w:cs="微软雅黑"/>
          <w:i w:val="0"/>
          <w:iCs w:val="0"/>
          <w:caps w:val="0"/>
          <w:color w:val="3C3C3C"/>
          <w:spacing w:val="0"/>
          <w:sz w:val="24"/>
          <w:szCs w:val="24"/>
          <w:shd w:val="clear" w:fill="FFFFFF"/>
        </w:rPr>
        <w:t>十六、其他资本性支出（支出经济分类科目类级）：</w:t>
      </w:r>
      <w:r>
        <w:rPr>
          <w:rFonts w:hint="eastAsia" w:ascii="微软雅黑" w:hAnsi="微软雅黑" w:eastAsia="微软雅黑" w:cs="微软雅黑"/>
          <w:i w:val="0"/>
          <w:iCs w:val="0"/>
          <w:caps w:val="0"/>
          <w:color w:val="3C3C3C"/>
          <w:spacing w:val="0"/>
          <w:sz w:val="24"/>
          <w:szCs w:val="24"/>
          <w:shd w:val="clear" w:fill="FFFFFF"/>
        </w:rPr>
        <w:t>反映非各级发展与改革部门集中安排的用于购置固定资产、战略性和应急性储备、土地和无形资产，以及构建基础设施、大型修缮和财政支持企业更新改造所发生的支出。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643128"/>
    <w:multiLevelType w:val="singleLevel"/>
    <w:tmpl w:val="E6643128"/>
    <w:lvl w:ilvl="0" w:tentative="0">
      <w:start w:val="8"/>
      <w:numFmt w:val="chineseCounting"/>
      <w:suff w:val="nothing"/>
      <w:lvlText w:val="%1、"/>
      <w:lvlJc w:val="left"/>
      <w:rPr>
        <w:rFonts w:hint="eastAsia"/>
      </w:rPr>
    </w:lvl>
  </w:abstractNum>
  <w:abstractNum w:abstractNumId="1">
    <w:nsid w:val="F0104592"/>
    <w:multiLevelType w:val="singleLevel"/>
    <w:tmpl w:val="F0104592"/>
    <w:lvl w:ilvl="0" w:tentative="0">
      <w:start w:val="1"/>
      <w:numFmt w:val="chineseCounting"/>
      <w:suff w:val="nothing"/>
      <w:lvlText w:val="%1、"/>
      <w:lvlJc w:val="left"/>
      <w:rPr>
        <w:rFonts w:hint="eastAsia"/>
      </w:rPr>
    </w:lvl>
  </w:abstractNum>
  <w:abstractNum w:abstractNumId="2">
    <w:nsid w:val="33EF378C"/>
    <w:multiLevelType w:val="singleLevel"/>
    <w:tmpl w:val="33EF378C"/>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DNiNzg3ZjUyNDkyNTg4NGQxOWE0OTdkZjIzNjcifQ=="/>
  </w:docVars>
  <w:rsids>
    <w:rsidRoot w:val="00000000"/>
    <w:rsid w:val="19322680"/>
    <w:rsid w:val="1BEF7793"/>
    <w:rsid w:val="1EE61F3B"/>
    <w:rsid w:val="27026F79"/>
    <w:rsid w:val="2CF47E48"/>
    <w:rsid w:val="36717A59"/>
    <w:rsid w:val="387700E8"/>
    <w:rsid w:val="39E27F5A"/>
    <w:rsid w:val="3A1846D0"/>
    <w:rsid w:val="447253F9"/>
    <w:rsid w:val="46124105"/>
    <w:rsid w:val="538F59F6"/>
    <w:rsid w:val="56A81E47"/>
    <w:rsid w:val="5E24556C"/>
    <w:rsid w:val="652266CA"/>
    <w:rsid w:val="74BD322B"/>
    <w:rsid w:val="75D47323"/>
    <w:rsid w:val="7A440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styleId="6">
    <w:name w:val="List Paragraph"/>
    <w:basedOn w:val="1"/>
    <w:qFormat/>
    <w:uiPriority w:val="34"/>
    <w:pPr>
      <w:ind w:left="641"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7236</Words>
  <Characters>8855</Characters>
  <Lines>0</Lines>
  <Paragraphs>0</Paragraphs>
  <TotalTime>2</TotalTime>
  <ScaleCrop>false</ScaleCrop>
  <LinksUpToDate>false</LinksUpToDate>
  <CharactersWithSpaces>9104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2023-06-25T01:43:00Z</dcterms:created>
  <dc:creator>User</dc:creator>
  <cp:lastModifiedBy>赵吉云</cp:lastModifiedBy>
  <dcterms:modified xsi:type="dcterms:W3CDTF">2023-06-26T00:43:46Z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D1F462CE181E4F50BAF44BFDB81E2ED2_13</vt:lpwstr>
  </property>
</Properties>
</file>