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ind w:left="0" w:leftChars="0" w:firstLine="0" w:firstLineChars="0"/>
        <w:jc w:val="both"/>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pStyle w:val="3"/>
        <w:bidi w:val="0"/>
        <w:jc w:val="center"/>
        <w:rPr>
          <w:rFonts w:hint="eastAsia" w:ascii="方正小标宋简体" w:hAnsi="方正小标宋简体" w:eastAsia="方正小标宋简体" w:cs="方正小标宋简体"/>
          <w:b w:val="0"/>
          <w:bCs w:val="0"/>
          <w:lang w:val="zh-CN"/>
        </w:rPr>
      </w:pPr>
      <w:r>
        <w:rPr>
          <w:rFonts w:hint="eastAsia" w:ascii="方正小标宋简体" w:hAnsi="方正小标宋简体" w:eastAsia="方正小标宋简体" w:cs="方正小标宋简体"/>
          <w:b w:val="0"/>
          <w:bCs w:val="0"/>
          <w:lang w:val="zh-CN"/>
        </w:rPr>
        <w:t>2022年度</w:t>
      </w:r>
    </w:p>
    <w:p>
      <w:pPr>
        <w:pStyle w:val="3"/>
        <w:bidi w:val="0"/>
        <w:jc w:val="center"/>
        <w:rPr>
          <w:rFonts w:hint="eastAsia"/>
          <w:lang w:val="zh-CN"/>
        </w:rPr>
      </w:pPr>
      <w:r>
        <w:rPr>
          <w:rFonts w:hint="eastAsia" w:ascii="方正小标宋简体" w:hAnsi="方正小标宋简体" w:eastAsia="方正小标宋简体" w:cs="方正小标宋简体"/>
          <w:b w:val="0"/>
          <w:bCs w:val="0"/>
          <w:lang w:val="zh-CN"/>
        </w:rPr>
        <w:t>甘肃省农垦武威离退休工作站决算</w:t>
      </w:r>
    </w:p>
    <w:p>
      <w:pPr>
        <w:jc w:val="center"/>
        <w:rPr>
          <w:rFonts w:ascii="宋体"/>
          <w:sz w:val="24"/>
          <w:szCs w:val="24"/>
          <w:lang w:val="zh-CN"/>
        </w:rPr>
      </w:pPr>
    </w:p>
    <w:p>
      <w:pPr>
        <w:jc w:val="center"/>
        <w:rPr>
          <w:rFonts w:ascii="宋体"/>
          <w:sz w:val="24"/>
          <w:szCs w:val="24"/>
          <w:lang w:val="zh-CN"/>
        </w:rPr>
      </w:pPr>
    </w:p>
    <w:p>
      <w:pPr>
        <w:ind w:left="0" w:leftChars="0" w:firstLine="0" w:firstLineChars="0"/>
        <w:jc w:val="both"/>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ind w:left="0" w:leftChars="0" w:firstLine="0" w:firstLineChars="0"/>
        <w:jc w:val="both"/>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pStyle w:val="3"/>
        <w:bidi w:val="0"/>
        <w:jc w:val="center"/>
        <w:rPr>
          <w:lang w:val="zh-CN"/>
        </w:rPr>
      </w:pPr>
      <w:r>
        <w:rPr>
          <w:rFonts w:hint="eastAsia"/>
          <w:lang w:val="zh-CN"/>
        </w:rPr>
        <w:t>目录</w:t>
      </w:r>
    </w:p>
    <w:p>
      <w:pPr>
        <w:pStyle w:val="4"/>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b w:val="0"/>
          <w:bCs w:val="0"/>
          <w:lang w:val="zh-CN"/>
        </w:rPr>
        <w:t>第一部分</w:t>
      </w:r>
      <w:r>
        <w:rPr>
          <w:rFonts w:hint="eastAsia"/>
          <w:b w:val="0"/>
          <w:bCs w:val="0"/>
          <w:lang w:val="en-US" w:eastAsia="zh-CN"/>
        </w:rPr>
        <w:t xml:space="preserve"> </w:t>
      </w:r>
      <w:r>
        <w:rPr>
          <w:rFonts w:hint="eastAsia"/>
          <w:b w:val="0"/>
          <w:bCs w:val="0"/>
          <w:lang w:val="zh-CN"/>
        </w:rPr>
        <w:t>部门概况</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一、部门职责</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二、机构设置</w:t>
      </w:r>
    </w:p>
    <w:p>
      <w:pPr>
        <w:pStyle w:val="4"/>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ascii="黑体" w:hAnsi="黑体" w:eastAsia="黑体" w:cs="黑体"/>
          <w:lang w:val="zh-CN"/>
        </w:rPr>
        <w:t>第二部分</w:t>
      </w:r>
      <w:r>
        <w:rPr>
          <w:rFonts w:hint="eastAsia" w:ascii="黑体" w:hAnsi="黑体" w:eastAsia="黑体" w:cs="黑体"/>
          <w:lang w:val="en-US" w:eastAsia="zh-CN"/>
        </w:rPr>
        <w:t xml:space="preserve"> </w:t>
      </w:r>
      <w:r>
        <w:rPr>
          <w:rFonts w:hint="eastAsia" w:ascii="黑体" w:hAnsi="黑体" w:eastAsia="黑体" w:cs="黑体"/>
          <w:lang w:val="zh-CN"/>
        </w:rPr>
        <w:t>2022年度部门决算表</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一、收入支出决算总表</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二、收入决算表</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三、支出决算表</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四、财政拨款收入支出决算总表</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五、一般公共预算财政拨款支出决算表</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六、一般公共预算财政拨款基本支出决算明细表</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七、政府性基金预算财政拨款收入支出决算表</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八、国有资本经营预算财政拨款支出决算表</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九、财政拨款“三公”经费支出决算表</w:t>
      </w:r>
    </w:p>
    <w:p>
      <w:pPr>
        <w:pStyle w:val="4"/>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ascii="黑体" w:hAnsi="黑体" w:eastAsia="黑体" w:cs="黑体"/>
          <w:lang w:val="zh-CN"/>
        </w:rPr>
        <w:t>第三部分</w:t>
      </w:r>
      <w:r>
        <w:rPr>
          <w:rFonts w:hint="eastAsia" w:ascii="黑体" w:hAnsi="黑体" w:eastAsia="黑体" w:cs="黑体"/>
          <w:lang w:val="en-US" w:eastAsia="zh-CN"/>
        </w:rPr>
        <w:t xml:space="preserve"> </w:t>
      </w:r>
      <w:r>
        <w:rPr>
          <w:rFonts w:hint="eastAsia" w:ascii="黑体" w:hAnsi="黑体" w:eastAsia="黑体" w:cs="黑体"/>
          <w:lang w:val="zh-CN"/>
        </w:rPr>
        <w:t>2022年度部门决算情况说明</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一、收入支出决算总体情况说明</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二、收入决算情况说明</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三、支出决算情况说明</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四、财政拨款收入支出决算总体情况说明</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五、一般公共预算财政拨款支出决算情况说明</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六、一般公共预算财政拨款基本支出决算情况说明</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七、机关运行经费支出情况说明</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八、政府采购支出情况说明</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九、国有资产占用情况说明</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十、政府性基金预算财政拨款收支决算情况说明</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十一、国有资本经营预算财政拨款支出情况说明</w:t>
      </w:r>
    </w:p>
    <w:p>
      <w:pPr>
        <w:pStyle w:val="5"/>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十二、财政拨款“三公”经费支出决算情况说明</w:t>
      </w:r>
    </w:p>
    <w:p>
      <w:pPr>
        <w:pStyle w:val="4"/>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第四部分</w:t>
      </w:r>
      <w:r>
        <w:rPr>
          <w:rFonts w:hint="eastAsia"/>
          <w:lang w:val="en-US" w:eastAsia="zh-CN"/>
        </w:rPr>
        <w:t xml:space="preserve"> </w:t>
      </w:r>
      <w:r>
        <w:rPr>
          <w:rFonts w:hint="eastAsia"/>
          <w:lang w:val="zh-CN"/>
        </w:rPr>
        <w:t>预算绩效情况说明</w:t>
      </w:r>
    </w:p>
    <w:p>
      <w:pPr>
        <w:pStyle w:val="4"/>
        <w:keepNext/>
        <w:keepLines/>
        <w:pageBreakBefore w:val="0"/>
        <w:widowControl/>
        <w:kinsoku/>
        <w:wordWrap/>
        <w:overflowPunct/>
        <w:topLinePunct w:val="0"/>
        <w:autoSpaceDE/>
        <w:autoSpaceDN/>
        <w:bidi w:val="0"/>
        <w:adjustRightInd/>
        <w:snapToGrid/>
        <w:ind w:firstLine="0" w:firstLineChars="0"/>
        <w:textAlignment w:val="auto"/>
        <w:rPr>
          <w:lang w:val="zh-CN"/>
        </w:rPr>
      </w:pPr>
      <w:r>
        <w:rPr>
          <w:rFonts w:hint="eastAsia"/>
          <w:lang w:val="zh-CN"/>
        </w:rPr>
        <w:t>第五部分</w:t>
      </w:r>
      <w:r>
        <w:rPr>
          <w:rFonts w:hint="eastAsia"/>
          <w:lang w:val="en-US" w:eastAsia="zh-CN"/>
        </w:rPr>
        <w:t xml:space="preserve"> </w:t>
      </w:r>
      <w:r>
        <w:rPr>
          <w:rFonts w:hint="eastAsia"/>
          <w:lang w:val="zh-CN"/>
        </w:rPr>
        <w:t>名词解释</w:t>
      </w: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jc w:val="center"/>
        <w:rPr>
          <w:rFonts w:ascii="宋体"/>
          <w:sz w:val="24"/>
          <w:szCs w:val="24"/>
          <w:lang w:val="zh-CN"/>
        </w:rPr>
      </w:pPr>
    </w:p>
    <w:p>
      <w:pPr>
        <w:pStyle w:val="3"/>
        <w:bidi w:val="0"/>
        <w:jc w:val="center"/>
        <w:rPr>
          <w:rFonts w:ascii="宋体"/>
          <w:sz w:val="32"/>
          <w:szCs w:val="32"/>
          <w:lang w:val="zh-CN"/>
        </w:rPr>
      </w:pPr>
      <w:r>
        <w:rPr>
          <w:rFonts w:hint="eastAsia"/>
          <w:sz w:val="32"/>
          <w:szCs w:val="32"/>
          <w:lang w:val="zh-CN"/>
        </w:rPr>
        <w:t>第一部分</w:t>
      </w:r>
      <w:r>
        <w:rPr>
          <w:rFonts w:hint="eastAsia"/>
          <w:sz w:val="32"/>
          <w:szCs w:val="32"/>
          <w:lang w:val="en-US" w:eastAsia="zh-CN"/>
        </w:rPr>
        <w:t xml:space="preserve"> </w:t>
      </w:r>
      <w:r>
        <w:rPr>
          <w:rFonts w:hint="eastAsia"/>
          <w:sz w:val="32"/>
          <w:szCs w:val="32"/>
          <w:lang w:val="zh-CN"/>
        </w:rPr>
        <w:t>部门概况</w:t>
      </w:r>
    </w:p>
    <w:p>
      <w:pPr>
        <w:pStyle w:val="4"/>
        <w:bidi w:val="0"/>
        <w:rPr>
          <w:lang w:val="zh-CN"/>
        </w:rPr>
      </w:pPr>
      <w:r>
        <w:rPr>
          <w:rFonts w:hint="eastAsia"/>
          <w:lang w:val="zh-CN"/>
        </w:rPr>
        <w:t>一、部门职责</w:t>
      </w:r>
    </w:p>
    <w:p>
      <w:pPr>
        <w:bidi w:val="0"/>
        <w:rPr>
          <w:rFonts w:hint="eastAsia" w:ascii="宋体" w:hAnsi="宋体"/>
          <w:szCs w:val="24"/>
          <w:lang w:val="zh-CN"/>
        </w:rPr>
      </w:pPr>
      <w:r>
        <w:rPr>
          <w:rFonts w:hint="eastAsia"/>
          <w:lang w:val="zh-CN"/>
        </w:rPr>
        <w:t>甘肃省农垦武威离退休工作站为省农垦事业办公室所属公益二类直属事业单位，主要负责教育、卫生、科技、政法、国有资产管理、社会保险、人事、离退休人员管理等社会事业的管理与服务工作。</w:t>
      </w:r>
    </w:p>
    <w:p>
      <w:pPr>
        <w:pStyle w:val="4"/>
        <w:bidi w:val="0"/>
        <w:rPr>
          <w:lang w:val="zh-CN"/>
        </w:rPr>
      </w:pPr>
      <w:r>
        <w:rPr>
          <w:rFonts w:hint="eastAsia"/>
          <w:lang w:val="zh-CN"/>
        </w:rPr>
        <w:t>二、机构设置</w:t>
      </w:r>
    </w:p>
    <w:p>
      <w:pPr>
        <w:bidi w:val="0"/>
        <w:rPr>
          <w:rFonts w:hint="eastAsia" w:ascii="仿宋_GB2312" w:hAnsi="仿宋_GB2312" w:eastAsia="仿宋_GB2312" w:cs="仿宋_GB2312"/>
          <w:lang w:val="zh-CN"/>
        </w:rPr>
      </w:pPr>
      <w:r>
        <w:rPr>
          <w:rFonts w:hint="eastAsia"/>
          <w:lang w:val="zh-CN"/>
        </w:rPr>
        <w:t>甘肃省农垦武威离退休工作站实行“一个实体、一套人马、两块牌子”的管理体制，和农垦武威农业公司合署办公，由武威农业公司统一管理，</w:t>
      </w:r>
      <w:r>
        <w:rPr>
          <w:rFonts w:hint="eastAsia" w:ascii="仿宋_GB2312" w:hAnsi="仿宋_GB2312" w:eastAsia="仿宋_GB2312" w:cs="仿宋_GB2312"/>
          <w:lang w:val="zh-CN"/>
        </w:rPr>
        <w:t>内设综合办公室、财务部、生产部等3个部室。</w:t>
      </w:r>
    </w:p>
    <w:p>
      <w:pPr>
        <w:bidi w:val="0"/>
        <w:ind w:left="0" w:leftChars="0" w:firstLine="0" w:firstLineChars="0"/>
        <w:jc w:val="center"/>
        <w:rPr>
          <w:rFonts w:ascii="宋体"/>
          <w:sz w:val="32"/>
          <w:szCs w:val="32"/>
          <w:lang w:val="zh-CN"/>
        </w:rPr>
      </w:pPr>
      <w:r>
        <w:rPr>
          <w:rFonts w:hint="eastAsia" w:ascii="方正小标宋简体" w:hAnsi="方正小标宋简体" w:eastAsia="方正小标宋简体" w:cs="方正小标宋简体"/>
          <w:sz w:val="32"/>
          <w:szCs w:val="32"/>
          <w:lang w:val="zh-CN"/>
        </w:rPr>
        <w:t>第二部分</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lang w:val="zh-CN"/>
        </w:rPr>
        <w:t>2022年度部</w:t>
      </w:r>
      <w:r>
        <w:rPr>
          <w:rFonts w:hint="eastAsia" w:ascii="方正小标宋简体" w:hAnsi="方正小标宋简体" w:eastAsia="方正小标宋简体" w:cs="方正小标宋简体"/>
          <w:sz w:val="32"/>
          <w:szCs w:val="32"/>
          <w:lang w:val="zh-CN"/>
        </w:rPr>
        <w:t>门决算表</w:t>
      </w:r>
    </w:p>
    <w:p>
      <w:pPr>
        <w:pStyle w:val="4"/>
        <w:numPr>
          <w:numId w:val="0"/>
        </w:numPr>
        <w:bidi w:val="0"/>
        <w:ind w:firstLine="640" w:firstLineChars="200"/>
        <w:rPr>
          <w:rFonts w:hint="eastAsia"/>
          <w:lang w:val="zh-CN"/>
        </w:rPr>
      </w:pPr>
      <w:r>
        <w:rPr>
          <w:rFonts w:hint="eastAsia"/>
          <w:lang w:val="en-US" w:eastAsia="zh-CN"/>
        </w:rPr>
        <w:t>一、</w:t>
      </w:r>
      <w:r>
        <w:rPr>
          <w:rFonts w:hint="eastAsia"/>
          <w:lang w:val="zh-CN"/>
        </w:rPr>
        <w:t>收入支出决算总表</w:t>
      </w:r>
    </w:p>
    <w:p>
      <w:pPr>
        <w:spacing w:line="240" w:lineRule="auto"/>
        <w:ind w:left="0" w:leftChars="0" w:firstLine="0" w:firstLineChars="0"/>
        <w:rPr>
          <w:rFonts w:hint="default" w:eastAsia="仿宋_GB2312"/>
          <w:lang w:val="en-US" w:eastAsia="zh-CN"/>
        </w:rPr>
      </w:pPr>
      <w:r>
        <w:rPr>
          <w:rFonts w:hint="default" w:eastAsia="仿宋_GB2312"/>
          <w:lang w:val="en-US" w:eastAsia="zh-CN"/>
        </w:rPr>
        <w:pict>
          <v:shape id="_x0000_i1026" o:spt="75" alt="甘肃省农垦武威离退休工作站2022年度决算公开表1" type="#_x0000_t75" style="height:315.25pt;width:415.5pt;" filled="f" o:preferrelative="t" stroked="f" coordsize="21600,21600">
            <v:path/>
            <v:fill on="f" focussize="0,0"/>
            <v:stroke on="f"/>
            <v:imagedata r:id="rId12" o:title="甘肃省农垦武威离退休工作站2022年度决算公开表1"/>
            <o:lock v:ext="edit" aspectratio="t"/>
            <w10:wrap type="none"/>
            <w10:anchorlock/>
          </v:shape>
        </w:pict>
      </w:r>
    </w:p>
    <w:p>
      <w:pPr>
        <w:pStyle w:val="4"/>
        <w:numPr>
          <w:numId w:val="0"/>
        </w:numPr>
        <w:bidi w:val="0"/>
        <w:ind w:leftChars="200"/>
        <w:rPr>
          <w:rFonts w:hint="eastAsia"/>
          <w:lang w:val="zh-CN"/>
        </w:rPr>
      </w:pPr>
      <w:r>
        <w:rPr>
          <w:rFonts w:hint="eastAsia"/>
          <w:lang w:val="en-US" w:eastAsia="zh-CN"/>
        </w:rPr>
        <w:t>二、</w:t>
      </w:r>
      <w:r>
        <w:rPr>
          <w:rFonts w:hint="eastAsia"/>
          <w:lang w:val="zh-CN"/>
        </w:rPr>
        <w:t>收入决算表</w:t>
      </w:r>
    </w:p>
    <w:p>
      <w:pPr>
        <w:bidi w:val="0"/>
        <w:spacing w:line="240" w:lineRule="auto"/>
        <w:ind w:left="0" w:leftChars="0" w:firstLine="0" w:firstLineChars="0"/>
        <w:rPr>
          <w:rFonts w:hint="eastAsia" w:ascii="宋体" w:hAnsi="宋体"/>
          <w:sz w:val="24"/>
          <w:szCs w:val="24"/>
          <w:lang w:val="zh-CN"/>
        </w:rPr>
      </w:pPr>
      <w:r>
        <w:rPr>
          <w:rFonts w:hint="eastAsia"/>
          <w:lang w:val="en-US" w:eastAsia="zh-CN"/>
        </w:rPr>
        <w:pict>
          <v:shape id="_x0000_i1027" o:spt="75" alt="甘肃省农垦武威离退休工作站2022年度决算公开表2" type="#_x0000_t75" style="height:289.75pt;width:414.55pt;" filled="f" o:preferrelative="t" stroked="f" coordsize="21600,21600">
            <v:path/>
            <v:fill on="f" focussize="0,0"/>
            <v:stroke on="f"/>
            <v:imagedata r:id="rId13" o:title="甘肃省农垦武威离退休工作站2022年度决算公开表2"/>
            <o:lock v:ext="edit" aspectratio="t"/>
            <w10:wrap type="none"/>
            <w10:anchorlock/>
          </v:shape>
        </w:pict>
      </w:r>
    </w:p>
    <w:p>
      <w:pPr>
        <w:pStyle w:val="4"/>
        <w:numPr>
          <w:numId w:val="0"/>
        </w:numPr>
        <w:bidi w:val="0"/>
        <w:ind w:firstLine="640" w:firstLineChars="200"/>
        <w:rPr>
          <w:rFonts w:hint="eastAsia"/>
          <w:lang w:val="zh-CN"/>
        </w:rPr>
      </w:pPr>
      <w:r>
        <w:rPr>
          <w:rFonts w:hint="eastAsia"/>
          <w:lang w:val="en-US" w:eastAsia="zh-CN"/>
        </w:rPr>
        <w:t>三、</w:t>
      </w:r>
      <w:r>
        <w:rPr>
          <w:rFonts w:hint="eastAsia"/>
          <w:lang w:val="zh-CN"/>
        </w:rPr>
        <w:t>支出决算表</w:t>
      </w:r>
    </w:p>
    <w:p>
      <w:pPr>
        <w:bidi w:val="0"/>
        <w:spacing w:line="240" w:lineRule="auto"/>
        <w:ind w:left="0" w:leftChars="0" w:firstLine="0" w:firstLineChars="0"/>
        <w:rPr>
          <w:rFonts w:hint="eastAsia"/>
          <w:lang w:val="zh-CN"/>
        </w:rPr>
      </w:pPr>
      <w:bookmarkStart w:id="0" w:name="_GoBack"/>
      <w:r>
        <w:rPr>
          <w:rFonts w:hint="eastAsia"/>
          <w:lang w:val="en-US" w:eastAsia="zh-CN"/>
        </w:rPr>
        <w:pict>
          <v:shape id="_x0000_i1028" o:spt="75" alt="甘肃省农垦武威离退休工作站2022年度决算公开表3" type="#_x0000_t75" style="height:326.55pt;width:415.15pt;" filled="f" o:preferrelative="t" stroked="f" coordsize="21600,21600">
            <v:path/>
            <v:fill on="f" focussize="0,0"/>
            <v:stroke on="f"/>
            <v:imagedata r:id="rId14" o:title="甘肃省农垦武威离退休工作站2022年度决算公开表3"/>
            <o:lock v:ext="edit" aspectratio="t"/>
            <w10:wrap type="none"/>
            <w10:anchorlock/>
          </v:shape>
        </w:pict>
      </w:r>
      <w:bookmarkEnd w:id="0"/>
    </w:p>
    <w:p>
      <w:pPr>
        <w:pStyle w:val="4"/>
        <w:numPr>
          <w:numId w:val="0"/>
        </w:numPr>
        <w:bidi w:val="0"/>
        <w:ind w:firstLine="640" w:firstLineChars="200"/>
        <w:rPr>
          <w:rFonts w:hint="eastAsia"/>
          <w:lang w:val="zh-CN"/>
        </w:rPr>
      </w:pPr>
      <w:r>
        <w:rPr>
          <w:rFonts w:hint="eastAsia"/>
          <w:lang w:val="en-US" w:eastAsia="zh-CN"/>
        </w:rPr>
        <w:t>四、</w:t>
      </w:r>
      <w:r>
        <w:rPr>
          <w:rFonts w:hint="eastAsia"/>
          <w:lang w:val="zh-CN"/>
        </w:rPr>
        <w:t>财政拨款收入支出决算总表</w:t>
      </w:r>
    </w:p>
    <w:p>
      <w:pPr>
        <w:bidi w:val="0"/>
        <w:spacing w:line="240" w:lineRule="auto"/>
        <w:ind w:left="0" w:leftChars="0" w:firstLine="0" w:firstLineChars="0"/>
        <w:rPr>
          <w:rFonts w:hint="eastAsia"/>
          <w:lang w:val="zh-CN"/>
        </w:rPr>
      </w:pPr>
      <w:r>
        <w:rPr>
          <w:rFonts w:hint="eastAsia"/>
          <w:lang w:val="en-US" w:eastAsia="zh-CN"/>
        </w:rPr>
        <w:pict>
          <v:shape id="_x0000_i1029" o:spt="75" alt="甘肃省农垦武威离退休工作站2022年度决算公开表4" type="#_x0000_t75" style="height:328.85pt;width:415.3pt;" filled="f" o:preferrelative="t" stroked="f" coordsize="21600,21600">
            <v:path/>
            <v:fill on="f" focussize="0,0"/>
            <v:stroke on="f"/>
            <v:imagedata r:id="rId15" o:title="甘肃省农垦武威离退休工作站2022年度决算公开表4"/>
            <o:lock v:ext="edit" aspectratio="t"/>
            <w10:wrap type="none"/>
            <w10:anchorlock/>
          </v:shape>
        </w:pict>
      </w:r>
    </w:p>
    <w:p>
      <w:pPr>
        <w:pStyle w:val="4"/>
        <w:numPr>
          <w:numId w:val="0"/>
        </w:numPr>
        <w:bidi w:val="0"/>
        <w:ind w:firstLine="640" w:firstLineChars="200"/>
        <w:rPr>
          <w:rFonts w:hint="eastAsia"/>
          <w:lang w:val="zh-CN"/>
        </w:rPr>
      </w:pPr>
      <w:r>
        <w:rPr>
          <w:rFonts w:hint="eastAsia"/>
          <w:lang w:val="en-US" w:eastAsia="zh-CN"/>
        </w:rPr>
        <w:t>五、</w:t>
      </w:r>
      <w:r>
        <w:rPr>
          <w:rFonts w:hint="eastAsia"/>
          <w:lang w:val="zh-CN"/>
        </w:rPr>
        <w:t>一般公共预算财政拨款支出决算表</w:t>
      </w:r>
    </w:p>
    <w:p>
      <w:pPr>
        <w:bidi w:val="0"/>
        <w:spacing w:line="240" w:lineRule="auto"/>
        <w:ind w:left="0" w:leftChars="0" w:firstLine="0" w:firstLineChars="0"/>
        <w:rPr>
          <w:rFonts w:hint="eastAsia"/>
          <w:lang w:val="zh-CN"/>
        </w:rPr>
      </w:pPr>
      <w:r>
        <w:rPr>
          <w:rFonts w:hint="eastAsia"/>
          <w:lang w:val="en-US" w:eastAsia="zh-CN"/>
        </w:rPr>
        <w:pict>
          <v:shape id="_x0000_i1030" o:spt="75" alt="甘肃省农垦武威离退休工作站2022年度决算公开表5" type="#_x0000_t75" style="height:258.55pt;width:415pt;" filled="f" o:preferrelative="t" stroked="f" coordsize="21600,21600">
            <v:path/>
            <v:fill on="f" focussize="0,0"/>
            <v:stroke on="f"/>
            <v:imagedata r:id="rId16" o:title="甘肃省农垦武威离退休工作站2022年度决算公开表5"/>
            <o:lock v:ext="edit" aspectratio="t"/>
            <w10:wrap type="none"/>
            <w10:anchorlock/>
          </v:shape>
        </w:pict>
      </w:r>
    </w:p>
    <w:p>
      <w:pPr>
        <w:pStyle w:val="4"/>
        <w:numPr>
          <w:numId w:val="0"/>
        </w:numPr>
        <w:bidi w:val="0"/>
        <w:ind w:firstLine="640" w:firstLineChars="200"/>
        <w:rPr>
          <w:rFonts w:hint="eastAsia"/>
          <w:lang w:val="zh-CN"/>
        </w:rPr>
      </w:pPr>
      <w:r>
        <w:rPr>
          <w:rFonts w:hint="eastAsia"/>
          <w:lang w:val="en-US" w:eastAsia="zh-CN"/>
        </w:rPr>
        <w:t>六、</w:t>
      </w:r>
      <w:r>
        <w:rPr>
          <w:rFonts w:hint="eastAsia"/>
          <w:lang w:val="zh-CN"/>
        </w:rPr>
        <w:t>一般公共预算财政拨款基本支出决算明细表</w:t>
      </w:r>
    </w:p>
    <w:p>
      <w:pPr>
        <w:bidi w:val="0"/>
        <w:spacing w:line="240" w:lineRule="auto"/>
        <w:ind w:left="0" w:leftChars="0" w:firstLine="0" w:firstLineChars="0"/>
        <w:rPr>
          <w:rFonts w:hint="eastAsia"/>
          <w:lang w:val="zh-CN"/>
        </w:rPr>
      </w:pPr>
      <w:r>
        <w:rPr>
          <w:rFonts w:hint="eastAsia"/>
          <w:lang w:val="en-US" w:eastAsia="zh-CN"/>
        </w:rPr>
        <w:pict>
          <v:shape id="_x0000_i1031" o:spt="75" alt="甘肃省农垦武威离退休工作站2022年度决算公开表6" type="#_x0000_t75" style="height:235.1pt;width:414.55pt;" filled="f" o:preferrelative="t" stroked="f" coordsize="21600,21600">
            <v:path/>
            <v:fill on="f" focussize="0,0"/>
            <v:stroke on="f"/>
            <v:imagedata r:id="rId17" o:title="甘肃省农垦武威离退休工作站2022年度决算公开表6"/>
            <o:lock v:ext="edit" aspectratio="t"/>
            <w10:wrap type="none"/>
            <w10:anchorlock/>
          </v:shape>
        </w:pict>
      </w:r>
    </w:p>
    <w:p>
      <w:pPr>
        <w:pStyle w:val="4"/>
        <w:numPr>
          <w:numId w:val="0"/>
        </w:numPr>
        <w:bidi w:val="0"/>
        <w:ind w:firstLine="640" w:firstLineChars="200"/>
        <w:rPr>
          <w:rFonts w:hint="eastAsia"/>
          <w:lang w:val="zh-CN"/>
        </w:rPr>
      </w:pPr>
      <w:r>
        <w:rPr>
          <w:rFonts w:hint="eastAsia"/>
          <w:lang w:val="en-US" w:eastAsia="zh-CN"/>
        </w:rPr>
        <w:t>七、</w:t>
      </w:r>
      <w:r>
        <w:rPr>
          <w:rFonts w:hint="eastAsia"/>
          <w:lang w:val="zh-CN"/>
        </w:rPr>
        <w:t>政府性基金预算财政拨款收入支出决算表</w:t>
      </w:r>
    </w:p>
    <w:p>
      <w:pPr>
        <w:bidi w:val="0"/>
        <w:spacing w:line="240" w:lineRule="auto"/>
        <w:ind w:left="0" w:leftChars="0" w:firstLine="0" w:firstLineChars="0"/>
        <w:rPr>
          <w:rFonts w:hint="eastAsia"/>
          <w:lang w:val="zh-CN"/>
        </w:rPr>
      </w:pPr>
      <w:r>
        <w:rPr>
          <w:rFonts w:hint="eastAsia"/>
          <w:lang w:val="en-US" w:eastAsia="zh-CN"/>
        </w:rPr>
        <w:pict>
          <v:shape id="_x0000_i1032" o:spt="75" alt="甘肃省农垦武威离退休工作站2022年度决算公开表7" type="#_x0000_t75" style="height:86.2pt;width:415.25pt;" filled="f" o:preferrelative="t" stroked="f" coordsize="21600,21600">
            <v:path/>
            <v:fill on="f" focussize="0,0"/>
            <v:stroke on="f"/>
            <v:imagedata r:id="rId18" o:title="甘肃省农垦武威离退休工作站2022年度决算公开表7"/>
            <o:lock v:ext="edit" aspectratio="t"/>
            <w10:wrap type="none"/>
            <w10:anchorlock/>
          </v:shape>
        </w:pict>
      </w:r>
    </w:p>
    <w:p>
      <w:pPr>
        <w:pStyle w:val="4"/>
        <w:numPr>
          <w:numId w:val="0"/>
        </w:numPr>
        <w:bidi w:val="0"/>
        <w:ind w:firstLine="640" w:firstLineChars="200"/>
        <w:rPr>
          <w:rFonts w:hint="eastAsia"/>
          <w:lang w:val="zh-CN"/>
        </w:rPr>
      </w:pPr>
      <w:r>
        <w:rPr>
          <w:rFonts w:hint="eastAsia"/>
          <w:lang w:val="en-US" w:eastAsia="zh-CN"/>
        </w:rPr>
        <w:t>八、</w:t>
      </w:r>
      <w:r>
        <w:rPr>
          <w:rFonts w:hint="eastAsia"/>
          <w:lang w:val="zh-CN"/>
        </w:rPr>
        <w:t>国有资本经营预算财政拨款支出决算表</w:t>
      </w:r>
    </w:p>
    <w:p>
      <w:pPr>
        <w:bidi w:val="0"/>
        <w:spacing w:line="240" w:lineRule="auto"/>
        <w:ind w:left="0" w:leftChars="0" w:firstLine="0" w:firstLineChars="0"/>
        <w:rPr>
          <w:rFonts w:hint="eastAsia"/>
          <w:lang w:val="zh-CN"/>
        </w:rPr>
      </w:pPr>
      <w:r>
        <w:rPr>
          <w:rFonts w:hint="eastAsia"/>
          <w:lang w:val="en-US" w:eastAsia="zh-CN"/>
        </w:rPr>
        <w:pict>
          <v:shape id="_x0000_i1033" o:spt="75" alt="甘肃省农垦武威离退休工作站2022年度决算公开表8" type="#_x0000_t75" style="height:127.75pt;width:414.9pt;" filled="f" o:preferrelative="t" stroked="f" coordsize="21600,21600">
            <v:path/>
            <v:fill on="f" focussize="0,0"/>
            <v:stroke on="f"/>
            <v:imagedata r:id="rId19" o:title="甘肃省农垦武威离退休工作站2022年度决算公开表8"/>
            <o:lock v:ext="edit" aspectratio="t"/>
            <w10:wrap type="none"/>
            <w10:anchorlock/>
          </v:shape>
        </w:pict>
      </w:r>
    </w:p>
    <w:p>
      <w:pPr>
        <w:pStyle w:val="4"/>
        <w:numPr>
          <w:numId w:val="0"/>
        </w:numPr>
        <w:bidi w:val="0"/>
        <w:ind w:firstLine="640" w:firstLineChars="200"/>
        <w:rPr>
          <w:rFonts w:hint="eastAsia"/>
          <w:lang w:val="zh-CN"/>
        </w:rPr>
      </w:pPr>
      <w:r>
        <w:rPr>
          <w:rFonts w:hint="eastAsia"/>
          <w:lang w:val="en-US" w:eastAsia="zh-CN"/>
        </w:rPr>
        <w:t>九、</w:t>
      </w:r>
      <w:r>
        <w:rPr>
          <w:rFonts w:hint="eastAsia"/>
          <w:lang w:val="zh-CN"/>
        </w:rPr>
        <w:t>财政拨款“三公”经费支出决算表</w:t>
      </w:r>
    </w:p>
    <w:p>
      <w:pPr>
        <w:bidi w:val="0"/>
        <w:spacing w:line="240" w:lineRule="auto"/>
        <w:ind w:left="0" w:leftChars="0" w:firstLine="0" w:firstLineChars="0"/>
        <w:rPr>
          <w:rFonts w:hint="eastAsia"/>
          <w:lang w:val="zh-CN"/>
        </w:rPr>
      </w:pPr>
      <w:r>
        <w:rPr>
          <w:rFonts w:hint="eastAsia"/>
          <w:lang w:val="en-US" w:eastAsia="zh-CN"/>
        </w:rPr>
        <w:pict>
          <v:shape id="_x0000_i1034" o:spt="75" alt="甘肃省农垦武威离退休工作站2022年度决算公开表9" type="#_x0000_t75" style="height:76.2pt;width:414.65pt;" filled="f" o:preferrelative="t" stroked="f" coordsize="21600,21600">
            <v:path/>
            <v:fill on="f" focussize="0,0"/>
            <v:stroke on="f"/>
            <v:imagedata r:id="rId20" o:title="甘肃省农垦武威离退休工作站2022年度决算公开表9"/>
            <o:lock v:ext="edit" aspectratio="t"/>
            <w10:wrap type="none"/>
            <w10:anchorlock/>
          </v:shape>
        </w:pict>
      </w:r>
    </w:p>
    <w:p>
      <w:pPr>
        <w:pStyle w:val="3"/>
        <w:bidi w:val="0"/>
        <w:rPr>
          <w:rFonts w:ascii="宋体"/>
          <w:sz w:val="32"/>
          <w:szCs w:val="32"/>
          <w:lang w:val="zh-CN"/>
        </w:rPr>
      </w:pPr>
      <w:r>
        <w:rPr>
          <w:rFonts w:hint="eastAsia" w:ascii="方正小标宋简体" w:hAnsi="方正小标宋简体" w:eastAsia="方正小标宋简体" w:cs="方正小标宋简体"/>
          <w:sz w:val="32"/>
          <w:szCs w:val="32"/>
          <w:lang w:val="zh-CN"/>
        </w:rPr>
        <w:t>第三部分</w:t>
      </w:r>
      <w:r>
        <w:rPr>
          <w:rFonts w:hint="eastAsia" w:ascii="方正小标宋简体" w:hAnsi="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lang w:val="zh-CN"/>
        </w:rPr>
        <w:t>2022年度部门</w:t>
      </w:r>
      <w:r>
        <w:rPr>
          <w:rFonts w:hint="eastAsia"/>
          <w:sz w:val="32"/>
          <w:szCs w:val="32"/>
          <w:lang w:val="zh-CN"/>
        </w:rPr>
        <w:t>决算情况说明</w:t>
      </w:r>
    </w:p>
    <w:p>
      <w:pPr>
        <w:pStyle w:val="4"/>
        <w:bidi w:val="0"/>
        <w:rPr>
          <w:rFonts w:ascii="宋体"/>
          <w:szCs w:val="24"/>
          <w:lang w:val="zh-CN"/>
        </w:rPr>
      </w:pPr>
      <w:r>
        <w:rPr>
          <w:rFonts w:hint="eastAsia"/>
          <w:lang w:val="zh-CN"/>
        </w:rPr>
        <w:t>一、收入支出决算总体情况说明</w:t>
      </w:r>
    </w:p>
    <w:p>
      <w:pPr>
        <w:bidi w:val="0"/>
        <w:rPr>
          <w:rFonts w:hint="eastAsia"/>
          <w:lang w:val="zh-CN"/>
        </w:rPr>
      </w:pPr>
      <w:r>
        <w:rPr>
          <w:rFonts w:hint="eastAsia" w:ascii="仿宋_GB2312" w:hAnsi="仿宋_GB2312" w:eastAsia="仿宋_GB2312" w:cs="仿宋_GB2312"/>
          <w:lang w:val="zh-CN"/>
        </w:rPr>
        <w:t>2022年度收、支总计</w:t>
      </w:r>
      <w:r>
        <w:rPr>
          <w:rFonts w:hint="eastAsia" w:ascii="仿宋_GB2312" w:hAnsi="仿宋_GB2312" w:eastAsia="仿宋_GB2312" w:cs="仿宋_GB2312"/>
        </w:rPr>
        <w:t>均为</w:t>
      </w:r>
      <w:r>
        <w:rPr>
          <w:rFonts w:hint="eastAsia" w:ascii="仿宋_GB2312" w:hAnsi="仿宋_GB2312" w:eastAsia="仿宋_GB2312" w:cs="仿宋_GB2312"/>
          <w:lang w:val="zh-CN"/>
        </w:rPr>
        <w:t>211.94万元。</w:t>
      </w:r>
      <w:r>
        <w:rPr>
          <w:rFonts w:hint="eastAsia" w:ascii="仿宋_GB2312" w:hAnsi="仿宋_GB2312" w:eastAsia="仿宋_GB2312" w:cs="仿宋_GB2312"/>
        </w:rPr>
        <w:t>与上年度相比</w:t>
      </w:r>
      <w:r>
        <w:rPr>
          <w:rFonts w:hint="eastAsia" w:ascii="仿宋_GB2312" w:hAnsi="仿宋_GB2312" w:cs="仿宋_GB2312"/>
          <w:lang w:eastAsia="zh-CN"/>
        </w:rPr>
        <w:t>，</w:t>
      </w:r>
      <w:r>
        <w:rPr>
          <w:rFonts w:hint="eastAsia" w:ascii="仿宋_GB2312" w:hAnsi="仿宋_GB2312" w:eastAsia="仿宋_GB2312" w:cs="仿宋_GB2312"/>
          <w:lang w:val="zh-CN"/>
        </w:rPr>
        <w:t>收、支</w:t>
      </w:r>
      <w:r>
        <w:rPr>
          <w:rFonts w:hint="eastAsia" w:ascii="仿宋_GB2312" w:hAnsi="仿宋_GB2312" w:eastAsia="仿宋_GB2312" w:cs="仿宋_GB2312"/>
        </w:rPr>
        <w:t>总计各</w:t>
      </w:r>
      <w:r>
        <w:rPr>
          <w:rFonts w:hint="eastAsia" w:ascii="仿宋_GB2312" w:hAnsi="仿宋_GB2312" w:eastAsia="仿宋_GB2312" w:cs="仿宋_GB2312"/>
          <w:lang w:val="zh-CN"/>
        </w:rPr>
        <w:t>增加21.47万元</w:t>
      </w:r>
      <w:r>
        <w:rPr>
          <w:rFonts w:hint="eastAsia" w:ascii="仿宋_GB2312" w:hAnsi="仿宋_GB2312" w:cs="仿宋_GB2312"/>
          <w:lang w:val="zh-CN"/>
        </w:rPr>
        <w:t>，</w:t>
      </w:r>
      <w:r>
        <w:rPr>
          <w:rFonts w:hint="eastAsia" w:ascii="仿宋_GB2312" w:hAnsi="仿宋_GB2312" w:eastAsia="仿宋_GB2312" w:cs="仿宋_GB2312"/>
          <w:lang w:val="zh-CN"/>
        </w:rPr>
        <w:t>增长11.27%</w:t>
      </w:r>
      <w:r>
        <w:rPr>
          <w:rFonts w:hint="eastAsia" w:ascii="仿宋_GB2312" w:hAnsi="仿宋_GB2312" w:cs="仿宋_GB2312"/>
          <w:lang w:val="zh-CN"/>
        </w:rPr>
        <w:t>，</w:t>
      </w:r>
      <w:r>
        <w:rPr>
          <w:rFonts w:hint="eastAsia" w:ascii="仿宋_GB2312" w:hAnsi="仿宋_GB2312" w:eastAsia="仿宋_GB2312" w:cs="仿宋_GB2312"/>
          <w:lang w:val="zh-CN"/>
        </w:rPr>
        <w:t>主要原因是</w:t>
      </w:r>
      <w:r>
        <w:rPr>
          <w:rFonts w:hint="eastAsia" w:ascii="仿宋_GB2312" w:hAnsi="仿宋_GB2312" w:eastAsia="仿宋_GB2312" w:cs="仿宋_GB2312"/>
          <w:lang w:val="en-US" w:eastAsia="zh-CN"/>
        </w:rPr>
        <w:t>在职及离退休人员工资调资</w:t>
      </w:r>
      <w:r>
        <w:rPr>
          <w:rFonts w:hint="eastAsia" w:ascii="仿宋_GB2312" w:hAnsi="仿宋_GB2312" w:eastAsia="仿宋_GB2312" w:cs="仿宋_GB2312"/>
          <w:lang w:val="zh-CN"/>
        </w:rPr>
        <w:t>。</w:t>
      </w:r>
    </w:p>
    <w:p>
      <w:pPr>
        <w:pStyle w:val="4"/>
        <w:bidi w:val="0"/>
        <w:rPr>
          <w:rFonts w:ascii="宋体"/>
          <w:szCs w:val="24"/>
          <w:lang w:val="zh-CN"/>
        </w:rPr>
      </w:pPr>
      <w:r>
        <w:rPr>
          <w:rFonts w:hint="eastAsia"/>
          <w:lang w:val="zh-CN"/>
        </w:rPr>
        <w:t>二、收入决算情况说明</w:t>
      </w:r>
    </w:p>
    <w:p>
      <w:pPr>
        <w:bidi w:val="0"/>
        <w:rPr>
          <w:rFonts w:hint="eastAsia" w:ascii="仿宋_GB2312" w:hAnsi="仿宋_GB2312" w:eastAsia="仿宋_GB2312" w:cs="仿宋_GB2312"/>
          <w:szCs w:val="24"/>
          <w:lang w:val="zh-CN"/>
        </w:rPr>
      </w:pPr>
      <w:r>
        <w:rPr>
          <w:rFonts w:hint="eastAsia" w:ascii="仿宋_GB2312" w:hAnsi="仿宋_GB2312" w:eastAsia="仿宋_GB2312" w:cs="仿宋_GB2312"/>
          <w:lang w:val="zh-CN"/>
        </w:rPr>
        <w:t>2022年度收入合计211.94万元</w:t>
      </w:r>
      <w:r>
        <w:rPr>
          <w:rFonts w:hint="eastAsia" w:ascii="仿宋_GB2312" w:hAnsi="仿宋_GB2312" w:cs="仿宋_GB2312"/>
          <w:lang w:val="zh-CN"/>
        </w:rPr>
        <w:t>，</w:t>
      </w:r>
      <w:r>
        <w:rPr>
          <w:rFonts w:hint="eastAsia" w:ascii="仿宋_GB2312" w:hAnsi="仿宋_GB2312" w:eastAsia="仿宋_GB2312" w:cs="仿宋_GB2312"/>
          <w:lang w:val="zh-CN"/>
        </w:rPr>
        <w:t>其中：财政拨款收入211.94万元</w:t>
      </w:r>
      <w:r>
        <w:rPr>
          <w:rFonts w:hint="eastAsia" w:ascii="仿宋_GB2312" w:hAnsi="仿宋_GB2312" w:cs="仿宋_GB2312"/>
          <w:lang w:val="zh-CN"/>
        </w:rPr>
        <w:t>，</w:t>
      </w:r>
      <w:r>
        <w:rPr>
          <w:rFonts w:hint="eastAsia" w:ascii="仿宋_GB2312" w:hAnsi="仿宋_GB2312" w:eastAsia="仿宋_GB2312" w:cs="仿宋_GB2312"/>
          <w:lang w:val="zh-CN"/>
        </w:rPr>
        <w:t>占100.00%。</w:t>
      </w:r>
    </w:p>
    <w:p>
      <w:pPr>
        <w:pStyle w:val="4"/>
        <w:bidi w:val="0"/>
        <w:rPr>
          <w:rFonts w:ascii="宋体"/>
          <w:szCs w:val="24"/>
          <w:lang w:val="zh-CN"/>
        </w:rPr>
      </w:pPr>
      <w:r>
        <w:rPr>
          <w:rFonts w:hint="eastAsia"/>
          <w:lang w:val="zh-CN"/>
        </w:rPr>
        <w:t>三、支出决算情况说明</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2022年度支出合计211.94万元</w:t>
      </w:r>
      <w:r>
        <w:rPr>
          <w:rFonts w:hint="eastAsia" w:ascii="仿宋_GB2312" w:hAnsi="仿宋_GB2312" w:cs="仿宋_GB2312"/>
          <w:lang w:val="zh-CN"/>
        </w:rPr>
        <w:t>，</w:t>
      </w:r>
      <w:r>
        <w:rPr>
          <w:rFonts w:hint="eastAsia" w:ascii="仿宋_GB2312" w:hAnsi="仿宋_GB2312" w:eastAsia="仿宋_GB2312" w:cs="仿宋_GB2312"/>
          <w:lang w:val="zh-CN"/>
        </w:rPr>
        <w:t>其中：基本支出211.94万元</w:t>
      </w:r>
      <w:r>
        <w:rPr>
          <w:rFonts w:hint="eastAsia" w:ascii="仿宋_GB2312" w:hAnsi="仿宋_GB2312" w:cs="仿宋_GB2312"/>
          <w:lang w:val="zh-CN"/>
        </w:rPr>
        <w:t>，</w:t>
      </w:r>
      <w:r>
        <w:rPr>
          <w:rFonts w:hint="eastAsia" w:ascii="仿宋_GB2312" w:hAnsi="仿宋_GB2312" w:eastAsia="仿宋_GB2312" w:cs="仿宋_GB2312"/>
          <w:lang w:val="zh-CN"/>
        </w:rPr>
        <w:t>占100.00%。</w:t>
      </w:r>
    </w:p>
    <w:p>
      <w:pPr>
        <w:pStyle w:val="4"/>
        <w:bidi w:val="0"/>
        <w:rPr>
          <w:rFonts w:ascii="宋体"/>
          <w:szCs w:val="24"/>
          <w:lang w:val="zh-CN"/>
        </w:rPr>
      </w:pPr>
      <w:r>
        <w:rPr>
          <w:rFonts w:hint="eastAsia"/>
          <w:lang w:val="zh-CN"/>
        </w:rPr>
        <w:t>四、财政拨款收入支出决算总体情况说明</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2022年度财政拨款收、支总计</w:t>
      </w:r>
      <w:r>
        <w:rPr>
          <w:rFonts w:hint="eastAsia" w:ascii="仿宋_GB2312" w:hAnsi="仿宋_GB2312" w:eastAsia="仿宋_GB2312" w:cs="仿宋_GB2312"/>
        </w:rPr>
        <w:t>均为</w:t>
      </w:r>
      <w:r>
        <w:rPr>
          <w:rFonts w:hint="eastAsia" w:ascii="仿宋_GB2312" w:hAnsi="仿宋_GB2312" w:eastAsia="仿宋_GB2312" w:cs="仿宋_GB2312"/>
          <w:lang w:val="zh-CN"/>
        </w:rPr>
        <w:t>211.94万元。与</w:t>
      </w:r>
      <w:r>
        <w:rPr>
          <w:rFonts w:hint="eastAsia" w:ascii="仿宋_GB2312" w:hAnsi="仿宋_GB2312" w:eastAsia="仿宋_GB2312" w:cs="仿宋_GB2312"/>
        </w:rPr>
        <w:t>上</w:t>
      </w:r>
      <w:r>
        <w:rPr>
          <w:rFonts w:hint="eastAsia" w:ascii="仿宋_GB2312" w:hAnsi="仿宋_GB2312" w:eastAsia="仿宋_GB2312" w:cs="仿宋_GB2312"/>
          <w:lang w:val="zh-CN"/>
        </w:rPr>
        <w:t>年相比</w:t>
      </w:r>
      <w:r>
        <w:rPr>
          <w:rFonts w:hint="eastAsia" w:ascii="仿宋_GB2312" w:hAnsi="仿宋_GB2312" w:cs="仿宋_GB2312"/>
          <w:lang w:val="zh-CN"/>
        </w:rPr>
        <w:t>，</w:t>
      </w:r>
      <w:r>
        <w:rPr>
          <w:rFonts w:hint="eastAsia" w:ascii="仿宋_GB2312" w:hAnsi="仿宋_GB2312" w:eastAsia="仿宋_GB2312" w:cs="仿宋_GB2312"/>
          <w:lang w:val="zh-CN"/>
        </w:rPr>
        <w:t>各增加21.46万元</w:t>
      </w:r>
      <w:r>
        <w:rPr>
          <w:rFonts w:hint="eastAsia" w:ascii="仿宋_GB2312" w:hAnsi="仿宋_GB2312" w:cs="仿宋_GB2312"/>
          <w:lang w:val="zh-CN"/>
        </w:rPr>
        <w:t>，</w:t>
      </w:r>
      <w:r>
        <w:rPr>
          <w:rFonts w:hint="eastAsia" w:ascii="仿宋_GB2312" w:hAnsi="仿宋_GB2312" w:eastAsia="仿宋_GB2312" w:cs="仿宋_GB2312"/>
          <w:lang w:val="zh-CN"/>
        </w:rPr>
        <w:t>增长11.27%，主要原因是在职及离退休人员工资调资。</w:t>
      </w:r>
    </w:p>
    <w:p>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Arial" w:hAnsi="Arial" w:eastAsia="黑体" w:cs="Arial"/>
          <w:kern w:val="2"/>
          <w:sz w:val="32"/>
          <w:szCs w:val="20"/>
          <w:lang w:val="zh-CN" w:eastAsia="zh-CN" w:bidi="ar-SA"/>
        </w:rPr>
      </w:pPr>
      <w:r>
        <w:rPr>
          <w:rFonts w:hint="eastAsia" w:ascii="Arial" w:hAnsi="Arial" w:eastAsia="黑体" w:cs="Arial"/>
          <w:kern w:val="2"/>
          <w:sz w:val="32"/>
          <w:szCs w:val="20"/>
          <w:lang w:val="zh-CN" w:eastAsia="zh-CN" w:bidi="ar-SA"/>
        </w:rPr>
        <w:t>一般公共预算财政拨款支出决算情况说明</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2022年度一般公共预算财政拨款支出211.94万元</w:t>
      </w:r>
      <w:r>
        <w:rPr>
          <w:rFonts w:hint="eastAsia" w:ascii="仿宋_GB2312" w:hAnsi="仿宋_GB2312" w:cs="仿宋_GB2312"/>
          <w:lang w:val="zh-CN"/>
        </w:rPr>
        <w:t>，</w:t>
      </w:r>
      <w:r>
        <w:rPr>
          <w:rFonts w:hint="eastAsia" w:ascii="仿宋_GB2312" w:hAnsi="仿宋_GB2312" w:eastAsia="仿宋_GB2312" w:cs="仿宋_GB2312"/>
          <w:lang w:val="zh-CN"/>
        </w:rPr>
        <w:t>较上年决算数增加21.46万元</w:t>
      </w:r>
      <w:r>
        <w:rPr>
          <w:rFonts w:hint="eastAsia" w:ascii="仿宋_GB2312" w:hAnsi="仿宋_GB2312" w:cs="仿宋_GB2312"/>
          <w:lang w:val="zh-CN"/>
        </w:rPr>
        <w:t>，</w:t>
      </w:r>
      <w:r>
        <w:rPr>
          <w:rFonts w:hint="eastAsia" w:ascii="仿宋_GB2312" w:hAnsi="仿宋_GB2312" w:eastAsia="仿宋_GB2312" w:cs="仿宋_GB2312"/>
          <w:lang w:val="zh-CN"/>
        </w:rPr>
        <w:t>增长11.27%。在职及离退休人员工资调资。主要用于以下几个方面：</w:t>
      </w:r>
    </w:p>
    <w:p>
      <w:pPr>
        <w:jc w:val="left"/>
        <w:rPr>
          <w:rFonts w:cs="Arial"/>
          <w:lang w:val="zh-CN"/>
        </w:rPr>
      </w:pPr>
      <w:r>
        <w:rPr>
          <w:rStyle w:val="16"/>
          <w:rFonts w:hint="eastAsia" w:ascii="楷体_GB2312" w:hAnsi="楷体_GB2312" w:eastAsia="楷体_GB2312" w:cs="楷体_GB2312"/>
          <w:b/>
          <w:bCs/>
          <w:lang w:val="en-US" w:eastAsia="zh-CN"/>
        </w:rPr>
        <w:t>1</w:t>
      </w:r>
      <w:r>
        <w:rPr>
          <w:rStyle w:val="16"/>
          <w:rFonts w:hint="eastAsia" w:ascii="楷体_GB2312" w:hAnsi="楷体_GB2312" w:eastAsia="楷体_GB2312" w:cs="楷体_GB2312"/>
          <w:b/>
          <w:bCs/>
          <w:lang w:val="zh-CN"/>
        </w:rPr>
        <w:t>．社会保障和就业支出</w:t>
      </w:r>
      <w:r>
        <w:rPr>
          <w:rFonts w:hint="eastAsia" w:ascii="仿宋_GB2312" w:hAnsi="仿宋_GB2312" w:eastAsia="仿宋_GB2312" w:cs="仿宋_GB2312"/>
          <w:lang w:val="zh-CN"/>
        </w:rPr>
        <w:t>年初预算数为31.91万元</w:t>
      </w:r>
      <w:r>
        <w:rPr>
          <w:rFonts w:hint="eastAsia" w:ascii="仿宋_GB2312" w:hAnsi="仿宋_GB2312" w:cs="仿宋_GB2312"/>
          <w:lang w:val="zh-CN"/>
        </w:rPr>
        <w:t>，</w:t>
      </w:r>
      <w:r>
        <w:rPr>
          <w:rFonts w:hint="eastAsia" w:ascii="仿宋_GB2312" w:hAnsi="仿宋_GB2312" w:eastAsia="仿宋_GB2312" w:cs="仿宋_GB2312"/>
          <w:lang w:val="zh-CN"/>
        </w:rPr>
        <w:t>支出决算为161.99万元</w:t>
      </w:r>
      <w:r>
        <w:rPr>
          <w:rFonts w:hint="eastAsia" w:ascii="仿宋_GB2312" w:hAnsi="仿宋_GB2312" w:cs="仿宋_GB2312"/>
          <w:lang w:val="zh-CN"/>
        </w:rPr>
        <w:t>，</w:t>
      </w:r>
      <w:r>
        <w:rPr>
          <w:rFonts w:hint="eastAsia" w:ascii="仿宋_GB2312" w:hAnsi="仿宋_GB2312" w:eastAsia="仿宋_GB2312" w:cs="仿宋_GB2312"/>
          <w:lang w:val="zh-CN"/>
        </w:rPr>
        <w:t>完成年初预算的507.64%</w:t>
      </w:r>
      <w:r>
        <w:rPr>
          <w:rFonts w:hint="eastAsia" w:ascii="仿宋_GB2312" w:hAnsi="仿宋_GB2312" w:cs="仿宋_GB2312"/>
          <w:lang w:val="zh-CN"/>
        </w:rPr>
        <w:t>，</w:t>
      </w:r>
      <w:r>
        <w:rPr>
          <w:rFonts w:hint="eastAsia" w:ascii="仿宋_GB2312" w:hAnsi="仿宋_GB2312" w:eastAsia="仿宋_GB2312" w:cs="仿宋_GB2312"/>
          <w:lang w:val="zh-CN"/>
        </w:rPr>
        <w:t>决算数大于预算数的</w:t>
      </w:r>
      <w:r>
        <w:rPr>
          <w:rFonts w:hint="eastAsia" w:ascii="仿宋_GB2312" w:hAnsi="仿宋_GB2312" w:eastAsia="仿宋_GB2312" w:cs="仿宋_GB2312"/>
          <w:lang w:val="en-US" w:eastAsia="zh-CN"/>
        </w:rPr>
        <w:t>原因是</w:t>
      </w:r>
      <w:r>
        <w:rPr>
          <w:rFonts w:hint="eastAsia" w:ascii="仿宋_GB2312" w:hAnsi="仿宋_GB2312" w:eastAsia="仿宋_GB2312" w:cs="仿宋_GB2312"/>
          <w:lang w:val="zh-CN"/>
        </w:rPr>
        <w:t>退休人员的工资、津补贴及退休费的发放。</w:t>
      </w:r>
    </w:p>
    <w:p>
      <w:pPr>
        <w:jc w:val="left"/>
        <w:rPr>
          <w:rFonts w:hint="eastAsia" w:ascii="宋体" w:eastAsia="宋体"/>
          <w:color w:val="FF0000"/>
          <w:sz w:val="24"/>
          <w:szCs w:val="24"/>
          <w:lang w:val="en-US" w:eastAsia="zh-CN"/>
        </w:rPr>
      </w:pPr>
      <w:r>
        <w:rPr>
          <w:rStyle w:val="16"/>
          <w:rFonts w:hint="eastAsia" w:ascii="楷体_GB2312" w:hAnsi="楷体_GB2312" w:eastAsia="楷体_GB2312" w:cs="楷体_GB2312"/>
          <w:b/>
          <w:bCs/>
          <w:lang w:val="en-US" w:eastAsia="zh-CN"/>
        </w:rPr>
        <w:t>2</w:t>
      </w:r>
      <w:r>
        <w:rPr>
          <w:rStyle w:val="16"/>
          <w:rFonts w:hint="eastAsia" w:ascii="楷体_GB2312" w:hAnsi="楷体_GB2312" w:eastAsia="楷体_GB2312" w:cs="楷体_GB2312"/>
          <w:b/>
          <w:bCs/>
          <w:lang w:val="zh-CN"/>
        </w:rPr>
        <w:t>．卫生健康支出</w:t>
      </w:r>
      <w:r>
        <w:rPr>
          <w:rFonts w:hint="eastAsia" w:ascii="仿宋_GB2312" w:hAnsi="仿宋_GB2312" w:eastAsia="仿宋_GB2312" w:cs="仿宋_GB2312"/>
          <w:lang w:val="zh-CN"/>
        </w:rPr>
        <w:t>年初预算数为19.98万元</w:t>
      </w:r>
      <w:r>
        <w:rPr>
          <w:rFonts w:hint="eastAsia" w:ascii="仿宋_GB2312" w:hAnsi="仿宋_GB2312" w:cs="仿宋_GB2312"/>
          <w:lang w:val="zh-CN"/>
        </w:rPr>
        <w:t>，</w:t>
      </w:r>
      <w:r>
        <w:rPr>
          <w:rFonts w:hint="eastAsia" w:ascii="仿宋_GB2312" w:hAnsi="仿宋_GB2312" w:eastAsia="仿宋_GB2312" w:cs="仿宋_GB2312"/>
          <w:lang w:val="zh-CN"/>
        </w:rPr>
        <w:t>支出决算为19.98万元</w:t>
      </w:r>
      <w:r>
        <w:rPr>
          <w:rFonts w:hint="eastAsia" w:ascii="仿宋_GB2312" w:hAnsi="仿宋_GB2312" w:cs="仿宋_GB2312"/>
          <w:lang w:val="zh-CN"/>
        </w:rPr>
        <w:t>，</w:t>
      </w:r>
      <w:r>
        <w:rPr>
          <w:rFonts w:hint="eastAsia" w:ascii="仿宋_GB2312" w:hAnsi="仿宋_GB2312" w:eastAsia="仿宋_GB2312" w:cs="仿宋_GB2312"/>
          <w:lang w:val="zh-CN"/>
        </w:rPr>
        <w:t>完成年初预算的100.0%</w:t>
      </w:r>
      <w:r>
        <w:rPr>
          <w:rFonts w:hint="eastAsia" w:ascii="仿宋_GB2312" w:hAnsi="仿宋_GB2312" w:cs="仿宋_GB2312"/>
          <w:lang w:val="zh-CN"/>
        </w:rPr>
        <w:t>，</w:t>
      </w:r>
      <w:r>
        <w:rPr>
          <w:rFonts w:hint="eastAsia" w:ascii="仿宋_GB2312" w:hAnsi="仿宋_GB2312" w:eastAsia="仿宋_GB2312" w:cs="仿宋_GB2312"/>
          <w:lang w:val="zh-CN"/>
        </w:rPr>
        <w:t>决算数</w:t>
      </w:r>
      <w:r>
        <w:rPr>
          <w:rFonts w:hint="eastAsia" w:ascii="仿宋_GB2312" w:hAnsi="仿宋_GB2312" w:eastAsia="仿宋_GB2312" w:cs="仿宋_GB2312"/>
          <w:lang w:val="en-US" w:eastAsia="zh-CN"/>
        </w:rPr>
        <w:t>与</w:t>
      </w:r>
      <w:r>
        <w:rPr>
          <w:rFonts w:hint="eastAsia" w:ascii="仿宋_GB2312" w:hAnsi="仿宋_GB2312" w:eastAsia="仿宋_GB2312" w:cs="仿宋_GB2312"/>
          <w:lang w:val="zh-CN"/>
        </w:rPr>
        <w:t>预算数</w:t>
      </w:r>
      <w:r>
        <w:rPr>
          <w:rFonts w:hint="eastAsia" w:ascii="仿宋_GB2312" w:hAnsi="仿宋_GB2312" w:eastAsia="仿宋_GB2312" w:cs="仿宋_GB2312"/>
          <w:lang w:val="en-US" w:eastAsia="zh-CN"/>
        </w:rPr>
        <w:t>一致。</w:t>
      </w:r>
    </w:p>
    <w:p>
      <w:pPr>
        <w:jc w:val="left"/>
        <w:rPr>
          <w:lang w:val="zh-CN"/>
        </w:rPr>
      </w:pPr>
      <w:r>
        <w:rPr>
          <w:rStyle w:val="16"/>
          <w:rFonts w:hint="eastAsia" w:ascii="楷体_GB2312" w:hAnsi="楷体_GB2312" w:eastAsia="楷体_GB2312" w:cs="楷体_GB2312"/>
          <w:b/>
          <w:bCs/>
          <w:lang w:val="en-US" w:eastAsia="zh-CN"/>
        </w:rPr>
        <w:t>3</w:t>
      </w:r>
      <w:r>
        <w:rPr>
          <w:rStyle w:val="16"/>
          <w:rFonts w:hint="eastAsia" w:ascii="楷体_GB2312" w:hAnsi="楷体_GB2312" w:eastAsia="楷体_GB2312" w:cs="楷体_GB2312"/>
          <w:b/>
          <w:bCs/>
          <w:lang w:val="zh-CN"/>
        </w:rPr>
        <w:t>．农林水支出</w:t>
      </w:r>
      <w:r>
        <w:rPr>
          <w:rFonts w:hint="eastAsia" w:ascii="仿宋_GB2312" w:hAnsi="仿宋_GB2312" w:eastAsia="仿宋_GB2312" w:cs="仿宋_GB2312"/>
          <w:lang w:val="zh-CN"/>
        </w:rPr>
        <w:t>年初预算数为22.47万元</w:t>
      </w:r>
      <w:r>
        <w:rPr>
          <w:rFonts w:hint="eastAsia" w:ascii="仿宋_GB2312" w:hAnsi="仿宋_GB2312" w:cs="仿宋_GB2312"/>
          <w:lang w:val="zh-CN"/>
        </w:rPr>
        <w:t>，</w:t>
      </w:r>
      <w:r>
        <w:rPr>
          <w:rFonts w:hint="eastAsia" w:ascii="仿宋_GB2312" w:hAnsi="仿宋_GB2312" w:eastAsia="仿宋_GB2312" w:cs="仿宋_GB2312"/>
          <w:lang w:val="zh-CN"/>
        </w:rPr>
        <w:t>支出决算为27.67万元</w:t>
      </w:r>
      <w:r>
        <w:rPr>
          <w:rFonts w:hint="eastAsia" w:ascii="仿宋_GB2312" w:hAnsi="仿宋_GB2312" w:cs="仿宋_GB2312"/>
          <w:lang w:val="zh-CN"/>
        </w:rPr>
        <w:t>，</w:t>
      </w:r>
      <w:r>
        <w:rPr>
          <w:rFonts w:hint="eastAsia" w:ascii="仿宋_GB2312" w:hAnsi="仿宋_GB2312" w:eastAsia="仿宋_GB2312" w:cs="仿宋_GB2312"/>
          <w:lang w:val="zh-CN"/>
        </w:rPr>
        <w:t>完成年初预算的123.13%</w:t>
      </w:r>
      <w:r>
        <w:rPr>
          <w:rFonts w:hint="eastAsia" w:ascii="仿宋_GB2312" w:hAnsi="仿宋_GB2312" w:cs="仿宋_GB2312"/>
          <w:lang w:val="zh-CN"/>
        </w:rPr>
        <w:t>，</w:t>
      </w:r>
      <w:r>
        <w:rPr>
          <w:rFonts w:hint="eastAsia" w:ascii="仿宋_GB2312" w:hAnsi="仿宋_GB2312" w:eastAsia="仿宋_GB2312" w:cs="仿宋_GB2312"/>
          <w:lang w:val="zh-CN"/>
        </w:rPr>
        <w:t>决算数大于预算数的主要原因是</w:t>
      </w:r>
      <w:r>
        <w:rPr>
          <w:rFonts w:hint="eastAsia" w:ascii="仿宋_GB2312" w:hAnsi="仿宋_GB2312" w:eastAsia="仿宋_GB2312" w:cs="仿宋_GB2312"/>
          <w:lang w:val="en-US" w:eastAsia="zh-CN"/>
        </w:rPr>
        <w:t>相关费用增加</w:t>
      </w:r>
      <w:r>
        <w:rPr>
          <w:rFonts w:hint="eastAsia" w:ascii="仿宋_GB2312" w:hAnsi="仿宋_GB2312" w:eastAsia="仿宋_GB2312" w:cs="仿宋_GB2312"/>
          <w:lang w:val="zh-CN"/>
        </w:rPr>
        <w:t>。</w:t>
      </w:r>
    </w:p>
    <w:p>
      <w:pPr>
        <w:jc w:val="left"/>
        <w:rPr>
          <w:rFonts w:hint="eastAsia"/>
          <w:lang w:val="en-US" w:eastAsia="zh-CN"/>
        </w:rPr>
      </w:pPr>
      <w:r>
        <w:rPr>
          <w:rStyle w:val="16"/>
          <w:rFonts w:hint="eastAsia"/>
          <w:b/>
          <w:bCs/>
          <w:lang w:val="en-US" w:eastAsia="zh-CN"/>
        </w:rPr>
        <w:t>4</w:t>
      </w:r>
      <w:r>
        <w:rPr>
          <w:rStyle w:val="16"/>
          <w:rFonts w:hint="eastAsia"/>
          <w:b/>
          <w:bCs/>
          <w:lang w:val="zh-CN"/>
        </w:rPr>
        <w:t>．住房保障支出</w:t>
      </w:r>
      <w:r>
        <w:rPr>
          <w:rFonts w:hint="eastAsia" w:ascii="仿宋_GB2312" w:hAnsi="仿宋_GB2312" w:eastAsia="仿宋_GB2312" w:cs="仿宋_GB2312"/>
          <w:lang w:val="zh-CN"/>
        </w:rPr>
        <w:t>年初预算数为2.31万元</w:t>
      </w:r>
      <w:r>
        <w:rPr>
          <w:rFonts w:hint="eastAsia" w:ascii="仿宋_GB2312" w:hAnsi="仿宋_GB2312" w:cs="仿宋_GB2312"/>
          <w:lang w:val="zh-CN"/>
        </w:rPr>
        <w:t>，</w:t>
      </w:r>
      <w:r>
        <w:rPr>
          <w:rFonts w:hint="eastAsia" w:ascii="仿宋_GB2312" w:hAnsi="仿宋_GB2312" w:eastAsia="仿宋_GB2312" w:cs="仿宋_GB2312"/>
          <w:lang w:val="zh-CN"/>
        </w:rPr>
        <w:t>支出决算为2.31万元</w:t>
      </w:r>
      <w:r>
        <w:rPr>
          <w:rFonts w:hint="eastAsia" w:ascii="仿宋_GB2312" w:hAnsi="仿宋_GB2312" w:cs="仿宋_GB2312"/>
          <w:lang w:val="zh-CN"/>
        </w:rPr>
        <w:t>，</w:t>
      </w:r>
      <w:r>
        <w:rPr>
          <w:rFonts w:hint="eastAsia" w:ascii="仿宋_GB2312" w:hAnsi="仿宋_GB2312" w:eastAsia="仿宋_GB2312" w:cs="仿宋_GB2312"/>
          <w:lang w:val="zh-CN"/>
        </w:rPr>
        <w:t>完成年初预算的100.0%</w:t>
      </w:r>
      <w:r>
        <w:rPr>
          <w:rFonts w:hint="eastAsia" w:ascii="仿宋_GB2312" w:hAnsi="仿宋_GB2312" w:cs="仿宋_GB2312"/>
          <w:lang w:val="zh-CN"/>
        </w:rPr>
        <w:t>，</w:t>
      </w:r>
      <w:r>
        <w:rPr>
          <w:rFonts w:hint="eastAsia" w:ascii="仿宋_GB2312" w:hAnsi="仿宋_GB2312" w:eastAsia="仿宋_GB2312" w:cs="仿宋_GB2312"/>
          <w:lang w:val="zh-CN"/>
        </w:rPr>
        <w:t>决算数</w:t>
      </w:r>
      <w:r>
        <w:rPr>
          <w:rFonts w:hint="eastAsia" w:ascii="仿宋_GB2312" w:hAnsi="仿宋_GB2312" w:eastAsia="仿宋_GB2312" w:cs="仿宋_GB2312"/>
          <w:lang w:val="en-US" w:eastAsia="zh-CN"/>
        </w:rPr>
        <w:t>与</w:t>
      </w:r>
      <w:r>
        <w:rPr>
          <w:rFonts w:hint="eastAsia" w:ascii="仿宋_GB2312" w:hAnsi="仿宋_GB2312" w:eastAsia="仿宋_GB2312" w:cs="仿宋_GB2312"/>
          <w:lang w:val="zh-CN"/>
        </w:rPr>
        <w:t>预算数</w:t>
      </w:r>
      <w:r>
        <w:rPr>
          <w:rFonts w:hint="eastAsia" w:ascii="仿宋_GB2312" w:hAnsi="仿宋_GB2312" w:eastAsia="仿宋_GB2312" w:cs="仿宋_GB2312"/>
          <w:lang w:val="en-US" w:eastAsia="zh-CN"/>
        </w:rPr>
        <w:t>一致。</w:t>
      </w:r>
    </w:p>
    <w:p>
      <w:pPr>
        <w:pStyle w:val="4"/>
        <w:bidi w:val="0"/>
        <w:rPr>
          <w:rFonts w:ascii="宋体"/>
          <w:szCs w:val="24"/>
          <w:lang w:val="zh-CN"/>
        </w:rPr>
      </w:pPr>
      <w:r>
        <w:rPr>
          <w:rFonts w:hint="eastAsia"/>
          <w:lang w:val="zh-CN"/>
        </w:rPr>
        <w:t>六、一般公共预算财政拨款基本支出决算情况说明</w:t>
      </w:r>
    </w:p>
    <w:p>
      <w:pPr>
        <w:bidi w:val="0"/>
        <w:rPr>
          <w:rFonts w:hint="eastAsia" w:ascii="仿宋_GB2312" w:hAnsi="仿宋_GB2312" w:eastAsia="仿宋_GB2312" w:cs="仿宋_GB2312"/>
          <w:szCs w:val="24"/>
          <w:lang w:val="zh-CN"/>
        </w:rPr>
      </w:pPr>
      <w:r>
        <w:rPr>
          <w:rFonts w:hint="eastAsia" w:ascii="仿宋_GB2312" w:hAnsi="仿宋_GB2312" w:eastAsia="仿宋_GB2312" w:cs="仿宋_GB2312"/>
          <w:lang w:val="zh-CN"/>
        </w:rPr>
        <w:t>2022年度一般公共预算财政拨款基本支出211.94万元。其中：</w:t>
      </w:r>
    </w:p>
    <w:p>
      <w:pPr>
        <w:jc w:val="left"/>
        <w:rPr>
          <w:rFonts w:hint="eastAsia" w:ascii="仿宋_GB2312" w:hAnsi="仿宋_GB2312" w:eastAsia="仿宋_GB2312" w:cs="仿宋_GB2312"/>
          <w:lang w:val="zh-CN"/>
        </w:rPr>
      </w:pPr>
      <w:r>
        <w:rPr>
          <w:rStyle w:val="16"/>
          <w:rFonts w:hint="eastAsia" w:ascii="楷体_GB2312" w:hAnsi="楷体_GB2312" w:eastAsia="楷体_GB2312" w:cs="楷体_GB2312"/>
          <w:b/>
          <w:bCs/>
          <w:i w:val="0"/>
          <w:iCs w:val="0"/>
          <w:lang w:val="zh-CN"/>
        </w:rPr>
        <w:t>人员经费</w:t>
      </w:r>
      <w:r>
        <w:rPr>
          <w:rFonts w:hint="eastAsia" w:ascii="仿宋_GB2312" w:hAnsi="仿宋_GB2312" w:eastAsia="仿宋_GB2312" w:cs="仿宋_GB2312"/>
          <w:lang w:val="zh-CN"/>
        </w:rPr>
        <w:t>209.55万元</w:t>
      </w:r>
      <w:r>
        <w:rPr>
          <w:rFonts w:hint="eastAsia" w:ascii="仿宋_GB2312" w:hAnsi="仿宋_GB2312" w:cs="仿宋_GB2312"/>
          <w:lang w:val="zh-CN"/>
        </w:rPr>
        <w:t>，</w:t>
      </w:r>
      <w:r>
        <w:rPr>
          <w:rFonts w:hint="eastAsia" w:ascii="仿宋_GB2312" w:hAnsi="仿宋_GB2312" w:eastAsia="仿宋_GB2312" w:cs="仿宋_GB2312"/>
          <w:lang w:val="zh-CN"/>
        </w:rPr>
        <w:t>较上年决算数增加21.52万元</w:t>
      </w:r>
      <w:r>
        <w:rPr>
          <w:rFonts w:hint="eastAsia" w:ascii="仿宋_GB2312" w:hAnsi="仿宋_GB2312" w:cs="仿宋_GB2312"/>
          <w:lang w:val="zh-CN"/>
        </w:rPr>
        <w:t>，</w:t>
      </w:r>
      <w:r>
        <w:rPr>
          <w:rFonts w:hint="eastAsia" w:ascii="仿宋_GB2312" w:hAnsi="仿宋_GB2312" w:eastAsia="仿宋_GB2312" w:cs="仿宋_GB2312"/>
          <w:lang w:val="zh-CN"/>
        </w:rPr>
        <w:t>增长11.45%</w:t>
      </w:r>
      <w:r>
        <w:rPr>
          <w:rFonts w:hint="eastAsia" w:ascii="仿宋_GB2312" w:hAnsi="仿宋_GB2312" w:cs="仿宋_GB2312"/>
          <w:lang w:val="zh-CN"/>
        </w:rPr>
        <w:t>，</w:t>
      </w:r>
      <w:r>
        <w:rPr>
          <w:rFonts w:hint="eastAsia" w:ascii="仿宋_GB2312" w:hAnsi="仿宋_GB2312" w:eastAsia="仿宋_GB2312" w:cs="仿宋_GB2312"/>
          <w:lang w:val="zh-CN"/>
        </w:rPr>
        <w:t>主要原因是</w:t>
      </w:r>
      <w:r>
        <w:rPr>
          <w:rFonts w:hint="eastAsia" w:ascii="仿宋_GB2312" w:hAnsi="仿宋_GB2312" w:eastAsia="仿宋_GB2312" w:cs="仿宋_GB2312"/>
          <w:lang w:val="en-US" w:eastAsia="zh-CN"/>
        </w:rPr>
        <w:t>在职及离退休人员工资调资</w:t>
      </w:r>
      <w:r>
        <w:rPr>
          <w:rFonts w:hint="eastAsia" w:ascii="仿宋_GB2312" w:hAnsi="仿宋_GB2312" w:eastAsia="仿宋_GB2312" w:cs="仿宋_GB2312"/>
          <w:lang w:val="zh-CN"/>
        </w:rPr>
        <w:t>。人员经费用途主要包括基本工资、津贴补贴、奖金、社会保障缴费</w:t>
      </w:r>
      <w:r>
        <w:rPr>
          <w:rFonts w:hint="eastAsia" w:ascii="仿宋_GB2312" w:hAnsi="仿宋_GB2312" w:eastAsia="仿宋_GB2312" w:cs="仿宋_GB2312"/>
          <w:lang w:val="en-US" w:eastAsia="zh-CN"/>
        </w:rPr>
        <w:t>及住房公积金等</w:t>
      </w:r>
      <w:r>
        <w:rPr>
          <w:rFonts w:hint="eastAsia" w:ascii="仿宋_GB2312" w:hAnsi="仿宋_GB2312" w:eastAsia="仿宋_GB2312" w:cs="仿宋_GB2312"/>
          <w:lang w:val="zh-CN"/>
        </w:rPr>
        <w:t>。</w:t>
      </w:r>
    </w:p>
    <w:p>
      <w:pPr>
        <w:jc w:val="left"/>
        <w:rPr>
          <w:rFonts w:hint="eastAsia" w:ascii="仿宋_GB2312" w:hAnsi="仿宋_GB2312" w:eastAsia="仿宋_GB2312" w:cs="仿宋_GB2312"/>
          <w:color w:val="auto"/>
          <w:sz w:val="24"/>
          <w:szCs w:val="24"/>
          <w:lang w:val="zh-CN"/>
        </w:rPr>
      </w:pPr>
      <w:r>
        <w:rPr>
          <w:rStyle w:val="16"/>
          <w:rFonts w:hint="eastAsia" w:ascii="楷体_GB2312" w:hAnsi="楷体_GB2312" w:eastAsia="楷体_GB2312" w:cs="楷体_GB2312"/>
          <w:b/>
          <w:bCs/>
          <w:lang w:val="zh-CN"/>
        </w:rPr>
        <w:t>公用经费</w:t>
      </w:r>
      <w:r>
        <w:rPr>
          <w:rFonts w:hint="eastAsia" w:ascii="仿宋_GB2312" w:hAnsi="仿宋_GB2312" w:eastAsia="仿宋_GB2312" w:cs="仿宋_GB2312"/>
          <w:lang w:val="zh-CN"/>
        </w:rPr>
        <w:t>2.39万元</w:t>
      </w:r>
      <w:r>
        <w:rPr>
          <w:rFonts w:hint="eastAsia" w:ascii="仿宋_GB2312" w:hAnsi="仿宋_GB2312" w:cs="仿宋_GB2312"/>
          <w:lang w:val="zh-CN"/>
        </w:rPr>
        <w:t>，</w:t>
      </w:r>
      <w:r>
        <w:rPr>
          <w:rFonts w:hint="eastAsia" w:ascii="仿宋_GB2312" w:hAnsi="仿宋_GB2312" w:eastAsia="仿宋_GB2312" w:cs="仿宋_GB2312"/>
          <w:lang w:val="zh-CN"/>
        </w:rPr>
        <w:t>较上年决算数减少0.06万元</w:t>
      </w:r>
      <w:r>
        <w:rPr>
          <w:rFonts w:hint="eastAsia" w:ascii="仿宋_GB2312" w:hAnsi="仿宋_GB2312" w:cs="仿宋_GB2312"/>
          <w:lang w:val="zh-CN"/>
        </w:rPr>
        <w:t>，</w:t>
      </w:r>
      <w:r>
        <w:rPr>
          <w:rFonts w:hint="eastAsia" w:ascii="仿宋_GB2312" w:hAnsi="仿宋_GB2312" w:eastAsia="仿宋_GB2312" w:cs="仿宋_GB2312"/>
          <w:lang w:val="zh-CN"/>
        </w:rPr>
        <w:t>下降2.45%</w:t>
      </w:r>
      <w:r>
        <w:rPr>
          <w:rFonts w:hint="eastAsia" w:ascii="仿宋_GB2312" w:hAnsi="仿宋_GB2312" w:cs="仿宋_GB2312"/>
          <w:lang w:val="zh-CN"/>
        </w:rPr>
        <w:t>，</w:t>
      </w:r>
      <w:r>
        <w:rPr>
          <w:rFonts w:hint="eastAsia" w:ascii="仿宋_GB2312" w:hAnsi="仿宋_GB2312" w:eastAsia="仿宋_GB2312" w:cs="仿宋_GB2312"/>
          <w:lang w:val="zh-CN"/>
        </w:rPr>
        <w:t>主要原因是</w:t>
      </w:r>
      <w:r>
        <w:rPr>
          <w:rFonts w:hint="eastAsia" w:ascii="仿宋_GB2312" w:hAnsi="仿宋_GB2312" w:eastAsia="仿宋_GB2312" w:cs="仿宋_GB2312"/>
          <w:lang w:val="en-US" w:eastAsia="zh-CN"/>
        </w:rPr>
        <w:t>落实财政过“紧日子”等相关政策减少相应支出</w:t>
      </w:r>
      <w:r>
        <w:rPr>
          <w:rFonts w:hint="eastAsia" w:ascii="仿宋_GB2312" w:hAnsi="仿宋_GB2312" w:eastAsia="仿宋_GB2312" w:cs="仿宋_GB2312"/>
          <w:lang w:val="zh-CN"/>
        </w:rPr>
        <w:t>。公用经费用途主要包括办公费、印刷费、手续费</w:t>
      </w:r>
      <w:r>
        <w:rPr>
          <w:rFonts w:hint="eastAsia" w:ascii="仿宋_GB2312" w:hAnsi="仿宋_GB2312" w:eastAsia="仿宋_GB2312" w:cs="仿宋_GB2312"/>
          <w:lang w:val="en-US" w:eastAsia="zh-CN"/>
        </w:rPr>
        <w:t>等</w:t>
      </w:r>
      <w:r>
        <w:rPr>
          <w:rFonts w:hint="eastAsia" w:ascii="仿宋_GB2312" w:hAnsi="仿宋_GB2312" w:eastAsia="仿宋_GB2312" w:cs="仿宋_GB2312"/>
          <w:lang w:val="zh-CN"/>
        </w:rPr>
        <w:t>。</w:t>
      </w:r>
    </w:p>
    <w:p>
      <w:pPr>
        <w:pStyle w:val="4"/>
        <w:bidi w:val="0"/>
        <w:rPr>
          <w:rFonts w:ascii="宋体"/>
          <w:szCs w:val="24"/>
          <w:lang w:val="zh-CN"/>
        </w:rPr>
      </w:pPr>
      <w:r>
        <w:rPr>
          <w:rFonts w:hint="eastAsia"/>
        </w:rPr>
        <w:t>七</w:t>
      </w:r>
      <w:r>
        <w:rPr>
          <w:rFonts w:hint="eastAsia"/>
          <w:lang w:val="zh-CN"/>
        </w:rPr>
        <w:t>、机关运行经费支出情况说明</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我单位2022年度无机关运行相关经费。</w:t>
      </w:r>
    </w:p>
    <w:p>
      <w:pPr>
        <w:bidi w:val="0"/>
        <w:rPr>
          <w:lang w:val="zh-CN"/>
        </w:rPr>
      </w:pPr>
      <w:r>
        <w:rPr>
          <w:rFonts w:hint="eastAsia" w:ascii="仿宋_GB2312" w:hAnsi="仿宋_GB2312" w:eastAsia="仿宋_GB2312" w:cs="仿宋_GB2312"/>
          <w:lang w:val="zh-CN"/>
        </w:rPr>
        <w:t>本年度培训费支出0.07万元</w:t>
      </w:r>
      <w:r>
        <w:rPr>
          <w:rFonts w:hint="eastAsia" w:ascii="仿宋_GB2312" w:hAnsi="仿宋_GB2312" w:cs="仿宋_GB2312"/>
          <w:lang w:val="zh-CN"/>
        </w:rPr>
        <w:t>，</w:t>
      </w:r>
      <w:r>
        <w:rPr>
          <w:rFonts w:hint="eastAsia" w:ascii="仿宋_GB2312" w:hAnsi="仿宋_GB2312" w:eastAsia="仿宋_GB2312" w:cs="仿宋_GB2312"/>
          <w:lang w:val="zh-CN"/>
        </w:rPr>
        <w:t>较上年决算数增加0.0万元</w:t>
      </w:r>
      <w:r>
        <w:rPr>
          <w:rFonts w:hint="eastAsia" w:ascii="仿宋_GB2312" w:hAnsi="仿宋_GB2312" w:cs="仿宋_GB2312"/>
          <w:lang w:val="zh-CN"/>
        </w:rPr>
        <w:t>，</w:t>
      </w:r>
      <w:r>
        <w:rPr>
          <w:rFonts w:hint="eastAsia" w:ascii="仿宋_GB2312" w:hAnsi="仿宋_GB2312" w:eastAsia="仿宋_GB2312" w:cs="仿宋_GB2312"/>
          <w:lang w:val="zh-CN"/>
        </w:rPr>
        <w:t>增长0.0%</w:t>
      </w:r>
      <w:r>
        <w:rPr>
          <w:rFonts w:hint="eastAsia" w:ascii="仿宋_GB2312" w:hAnsi="仿宋_GB2312" w:cs="仿宋_GB2312"/>
          <w:lang w:val="zh-CN"/>
        </w:rPr>
        <w:t>，</w:t>
      </w:r>
      <w:r>
        <w:rPr>
          <w:rFonts w:hint="eastAsia" w:ascii="仿宋_GB2312" w:hAnsi="仿宋_GB2312" w:eastAsia="仿宋_GB2312" w:cs="仿宋_GB2312"/>
          <w:lang w:val="en-US" w:eastAsia="zh-CN"/>
        </w:rPr>
        <w:t>无变化</w:t>
      </w:r>
      <w:r>
        <w:rPr>
          <w:rFonts w:hint="eastAsia" w:ascii="仿宋_GB2312" w:hAnsi="仿宋_GB2312" w:eastAsia="仿宋_GB2312" w:cs="仿宋_GB2312"/>
          <w:lang w:val="zh-CN"/>
        </w:rPr>
        <w:t>。</w:t>
      </w:r>
    </w:p>
    <w:p>
      <w:pPr>
        <w:pStyle w:val="4"/>
        <w:bidi w:val="0"/>
        <w:rPr>
          <w:rFonts w:ascii="宋体"/>
          <w:szCs w:val="24"/>
          <w:lang w:val="zh-CN"/>
        </w:rPr>
      </w:pPr>
      <w:r>
        <w:rPr>
          <w:rFonts w:hint="eastAsia"/>
        </w:rPr>
        <w:t>八</w:t>
      </w:r>
      <w:r>
        <w:rPr>
          <w:rFonts w:hint="eastAsia"/>
          <w:lang w:val="zh-CN"/>
        </w:rPr>
        <w:t>、政府采购支出情况说明</w:t>
      </w:r>
    </w:p>
    <w:p>
      <w:pPr>
        <w:bidi w:val="0"/>
        <w:rPr>
          <w:lang w:val="zh-CN"/>
        </w:rPr>
      </w:pPr>
      <w:r>
        <w:rPr>
          <w:rFonts w:hint="eastAsia" w:ascii="仿宋_GB2312" w:hAnsi="仿宋_GB2312" w:eastAsia="仿宋_GB2312" w:cs="仿宋_GB2312"/>
          <w:lang w:val="zh-CN"/>
        </w:rPr>
        <w:t>我单位2022年度无政府采购相关经费。</w:t>
      </w:r>
    </w:p>
    <w:p>
      <w:pPr>
        <w:pStyle w:val="4"/>
        <w:bidi w:val="0"/>
        <w:rPr>
          <w:rFonts w:ascii="宋体"/>
          <w:szCs w:val="24"/>
          <w:lang w:val="zh-CN"/>
        </w:rPr>
      </w:pPr>
      <w:r>
        <w:rPr>
          <w:rFonts w:hint="eastAsia"/>
        </w:rPr>
        <w:t>九</w:t>
      </w:r>
      <w:r>
        <w:rPr>
          <w:rFonts w:hint="eastAsia"/>
          <w:lang w:val="zh-CN"/>
        </w:rPr>
        <w:t>、国有资产占用情况说明</w:t>
      </w:r>
    </w:p>
    <w:p>
      <w:pPr>
        <w:bidi w:val="0"/>
        <w:rPr>
          <w:rFonts w:hint="eastAsia" w:ascii="仿宋_GB2312" w:hAnsi="仿宋_GB2312" w:eastAsia="仿宋_GB2312" w:cs="仿宋_GB2312"/>
          <w:color w:val="auto"/>
          <w:szCs w:val="24"/>
          <w:lang w:val="zh-CN"/>
        </w:rPr>
      </w:pPr>
      <w:r>
        <w:rPr>
          <w:rFonts w:hint="eastAsia" w:ascii="仿宋_GB2312" w:hAnsi="仿宋_GB2312" w:eastAsia="仿宋_GB2312" w:cs="仿宋_GB2312"/>
          <w:lang w:val="zh-CN"/>
        </w:rPr>
        <w:t>截至2022年12月31日</w:t>
      </w:r>
      <w:r>
        <w:rPr>
          <w:rFonts w:hint="eastAsia" w:ascii="仿宋_GB2312" w:hAnsi="仿宋_GB2312" w:cs="仿宋_GB2312"/>
          <w:lang w:val="zh-CN"/>
        </w:rPr>
        <w:t>，</w:t>
      </w:r>
      <w:r>
        <w:rPr>
          <w:rFonts w:hint="eastAsia" w:ascii="仿宋_GB2312" w:hAnsi="仿宋_GB2312" w:eastAsia="仿宋_GB2312" w:cs="仿宋_GB2312"/>
          <w:lang w:val="zh-CN"/>
        </w:rPr>
        <w:t>本部门共有车辆1辆</w:t>
      </w:r>
      <w:r>
        <w:rPr>
          <w:rFonts w:hint="eastAsia" w:ascii="仿宋_GB2312" w:hAnsi="仿宋_GB2312" w:cs="仿宋_GB2312"/>
          <w:lang w:val="zh-CN"/>
        </w:rPr>
        <w:t>，</w:t>
      </w:r>
      <w:r>
        <w:rPr>
          <w:rFonts w:hint="eastAsia" w:ascii="仿宋_GB2312" w:hAnsi="仿宋_GB2312" w:eastAsia="仿宋_GB2312" w:cs="仿宋_GB2312"/>
          <w:lang w:val="zh-CN"/>
        </w:rPr>
        <w:t>其中</w:t>
      </w:r>
      <w:r>
        <w:rPr>
          <w:rFonts w:hint="eastAsia" w:ascii="仿宋_GB2312" w:hAnsi="仿宋_GB2312" w:cs="仿宋_GB2312"/>
          <w:lang w:val="zh-CN"/>
        </w:rPr>
        <w:t>，</w:t>
      </w:r>
      <w:r>
        <w:rPr>
          <w:rFonts w:hint="eastAsia" w:ascii="仿宋_GB2312" w:hAnsi="仿宋_GB2312" w:eastAsia="仿宋_GB2312" w:cs="仿宋_GB2312"/>
          <w:lang w:val="zh-CN"/>
        </w:rPr>
        <w:t>其他用车1辆</w:t>
      </w:r>
      <w:r>
        <w:rPr>
          <w:rFonts w:hint="eastAsia" w:ascii="仿宋_GB2312" w:hAnsi="仿宋_GB2312" w:cs="仿宋_GB2312"/>
          <w:lang w:val="zh-CN"/>
        </w:rPr>
        <w:t>，</w:t>
      </w:r>
      <w:r>
        <w:rPr>
          <w:rFonts w:hint="eastAsia" w:ascii="仿宋_GB2312" w:hAnsi="仿宋_GB2312" w:eastAsia="仿宋_GB2312" w:cs="仿宋_GB2312"/>
          <w:lang w:val="zh-CN"/>
        </w:rPr>
        <w:t>其他用车主要是用于</w:t>
      </w:r>
      <w:r>
        <w:rPr>
          <w:rFonts w:hint="eastAsia" w:ascii="仿宋_GB2312" w:hAnsi="仿宋_GB2312" w:eastAsia="仿宋_GB2312" w:cs="仿宋_GB2312"/>
          <w:lang w:val="en-US" w:eastAsia="zh-CN"/>
        </w:rPr>
        <w:t>单位正常业务开展</w:t>
      </w:r>
      <w:r>
        <w:rPr>
          <w:rFonts w:hint="eastAsia" w:ascii="仿宋_GB2312" w:hAnsi="仿宋_GB2312" w:eastAsia="仿宋_GB2312" w:cs="仿宋_GB2312"/>
          <w:lang w:val="zh-CN"/>
        </w:rPr>
        <w:t>。</w:t>
      </w:r>
    </w:p>
    <w:p>
      <w:pPr>
        <w:pStyle w:val="4"/>
        <w:bidi w:val="0"/>
        <w:rPr>
          <w:rFonts w:ascii="宋体"/>
          <w:szCs w:val="24"/>
          <w:lang w:val="zh-CN"/>
        </w:rPr>
      </w:pPr>
      <w:r>
        <w:rPr>
          <w:rFonts w:hint="eastAsia"/>
          <w:lang w:val="zh-CN"/>
        </w:rPr>
        <w:t>十、政府性基金预算财政拨款收支决算情况说明</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本部门2022年度无政府性基金收入</w:t>
      </w:r>
      <w:r>
        <w:rPr>
          <w:rFonts w:hint="eastAsia" w:ascii="仿宋_GB2312" w:hAnsi="仿宋_GB2312" w:cs="仿宋_GB2312"/>
          <w:lang w:val="zh-CN"/>
        </w:rPr>
        <w:t>，</w:t>
      </w:r>
      <w:r>
        <w:rPr>
          <w:rFonts w:hint="eastAsia" w:ascii="仿宋_GB2312" w:hAnsi="仿宋_GB2312" w:eastAsia="仿宋_GB2312" w:cs="仿宋_GB2312"/>
          <w:lang w:val="zh-CN"/>
        </w:rPr>
        <w:t>也没有使用政府性基金安排的支出。</w:t>
      </w:r>
    </w:p>
    <w:p>
      <w:pPr>
        <w:pStyle w:val="4"/>
        <w:bidi w:val="0"/>
        <w:rPr>
          <w:rFonts w:ascii="宋体"/>
          <w:szCs w:val="24"/>
          <w:lang w:val="zh-CN"/>
        </w:rPr>
      </w:pPr>
      <w:r>
        <w:rPr>
          <w:rFonts w:hint="eastAsia"/>
          <w:lang w:val="zh-CN"/>
        </w:rPr>
        <w:t>十</w:t>
      </w:r>
      <w:r>
        <w:rPr>
          <w:rFonts w:hint="eastAsia"/>
        </w:rPr>
        <w:t>一</w:t>
      </w:r>
      <w:r>
        <w:rPr>
          <w:rFonts w:hint="eastAsia"/>
          <w:lang w:val="zh-CN"/>
        </w:rPr>
        <w:t>、国有资本经营预算财政拨款支出情况说明</w:t>
      </w:r>
    </w:p>
    <w:p>
      <w:pPr>
        <w:bidi w:val="0"/>
        <w:rPr>
          <w:rFonts w:hint="eastAsia" w:ascii="仿宋_GB2312" w:hAnsi="仿宋_GB2312" w:eastAsia="仿宋_GB2312" w:cs="仿宋_GB2312"/>
          <w:color w:val="auto"/>
          <w:szCs w:val="24"/>
          <w:lang w:val="zh-CN"/>
        </w:rPr>
      </w:pPr>
      <w:r>
        <w:rPr>
          <w:rFonts w:hint="eastAsia" w:ascii="仿宋_GB2312" w:hAnsi="仿宋_GB2312" w:eastAsia="仿宋_GB2312" w:cs="仿宋_GB2312"/>
          <w:lang w:val="zh-CN"/>
        </w:rPr>
        <w:t>本部门2022年度没有使用国有资本经营预算安排的支出。</w:t>
      </w:r>
    </w:p>
    <w:p>
      <w:pPr>
        <w:pStyle w:val="4"/>
        <w:bidi w:val="0"/>
        <w:rPr>
          <w:rFonts w:ascii="宋体"/>
          <w:szCs w:val="24"/>
          <w:lang w:val="zh-CN"/>
        </w:rPr>
      </w:pPr>
      <w:r>
        <w:rPr>
          <w:rFonts w:hint="eastAsia"/>
        </w:rPr>
        <w:t>十二</w:t>
      </w:r>
      <w:r>
        <w:rPr>
          <w:rFonts w:hint="eastAsia"/>
          <w:lang w:val="zh-CN"/>
        </w:rPr>
        <w:t>、财政拨款“三公”经费支出决算情况说明</w:t>
      </w:r>
    </w:p>
    <w:p>
      <w:pPr>
        <w:pStyle w:val="5"/>
        <w:keepNext/>
        <w:keepLines/>
        <w:pageBreakBefore w:val="0"/>
        <w:widowControl/>
        <w:kinsoku/>
        <w:wordWrap/>
        <w:overflowPunct/>
        <w:topLinePunct w:val="0"/>
        <w:autoSpaceDE/>
        <w:autoSpaceDN/>
        <w:bidi w:val="0"/>
        <w:adjustRightInd/>
        <w:snapToGrid/>
        <w:ind w:firstLine="643" w:firstLineChars="200"/>
        <w:textAlignment w:val="auto"/>
        <w:rPr>
          <w:lang w:val="zh-CN"/>
        </w:rPr>
      </w:pPr>
      <w:r>
        <w:rPr>
          <w:rFonts w:hint="eastAsia" w:ascii="楷体_GB2312" w:hAnsi="楷体_GB2312" w:eastAsia="楷体_GB2312" w:cs="楷体_GB2312"/>
          <w:b/>
          <w:bCs/>
          <w:lang w:val="zh-CN"/>
        </w:rPr>
        <w:t>(一)“三公”经费财政拨款支出总体情况说明</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2022年度“三公”经费支出全年预算数为0.18万元，支出决算为0.18万元，决算数</w:t>
      </w:r>
      <w:r>
        <w:rPr>
          <w:rFonts w:hint="eastAsia" w:ascii="仿宋_GB2312" w:hAnsi="仿宋_GB2312" w:eastAsia="仿宋_GB2312" w:cs="仿宋_GB2312"/>
          <w:lang w:val="en-US" w:eastAsia="zh-CN"/>
        </w:rPr>
        <w:t>与</w:t>
      </w:r>
      <w:r>
        <w:rPr>
          <w:rFonts w:hint="eastAsia" w:ascii="仿宋_GB2312" w:hAnsi="仿宋_GB2312" w:eastAsia="仿宋_GB2312" w:cs="仿宋_GB2312"/>
          <w:lang w:val="zh-CN"/>
        </w:rPr>
        <w:t>预算数</w:t>
      </w:r>
      <w:r>
        <w:rPr>
          <w:rFonts w:hint="eastAsia" w:ascii="仿宋_GB2312" w:hAnsi="仿宋_GB2312" w:eastAsia="仿宋_GB2312" w:cs="仿宋_GB2312"/>
          <w:lang w:val="en-US" w:eastAsia="zh-CN"/>
        </w:rPr>
        <w:t>一致，</w:t>
      </w:r>
      <w:r>
        <w:rPr>
          <w:rFonts w:hint="eastAsia" w:ascii="仿宋_GB2312" w:hAnsi="仿宋_GB2312" w:eastAsia="仿宋_GB2312" w:cs="仿宋_GB2312"/>
          <w:lang w:val="zh-CN"/>
        </w:rPr>
        <w:t>较上年决算数减少0.11万元</w:t>
      </w:r>
      <w:r>
        <w:rPr>
          <w:rFonts w:hint="eastAsia" w:ascii="仿宋_GB2312" w:hAnsi="仿宋_GB2312" w:eastAsia="仿宋_GB2312" w:cs="仿宋_GB2312"/>
          <w:lang w:val="zh-CN" w:eastAsia="zh-CN"/>
        </w:rPr>
        <w:t>，</w:t>
      </w:r>
      <w:r>
        <w:rPr>
          <w:rFonts w:hint="eastAsia" w:ascii="仿宋_GB2312" w:hAnsi="仿宋_GB2312" w:eastAsia="仿宋_GB2312" w:cs="仿宋_GB2312"/>
          <w:lang w:val="zh-CN"/>
        </w:rPr>
        <w:t>下降38.78%</w:t>
      </w:r>
      <w:r>
        <w:rPr>
          <w:rFonts w:hint="eastAsia" w:ascii="仿宋_GB2312" w:hAnsi="仿宋_GB2312" w:eastAsia="仿宋_GB2312" w:cs="仿宋_GB2312"/>
          <w:lang w:val="zh-CN" w:eastAsia="zh-CN"/>
        </w:rPr>
        <w:t>，</w:t>
      </w:r>
      <w:r>
        <w:rPr>
          <w:rFonts w:hint="eastAsia" w:ascii="仿宋_GB2312" w:hAnsi="仿宋_GB2312" w:eastAsia="仿宋_GB2312" w:cs="仿宋_GB2312"/>
          <w:lang w:val="zh-CN"/>
        </w:rPr>
        <w:t>主要原因是</w:t>
      </w:r>
      <w:r>
        <w:rPr>
          <w:rFonts w:hint="eastAsia" w:ascii="仿宋_GB2312" w:hAnsi="仿宋_GB2312" w:eastAsia="仿宋_GB2312" w:cs="仿宋_GB2312"/>
          <w:lang w:val="en-US" w:eastAsia="zh-CN"/>
        </w:rPr>
        <w:t>落实财政过“紧日子”等相关政策减少相应支出</w:t>
      </w:r>
      <w:r>
        <w:rPr>
          <w:rFonts w:hint="eastAsia" w:ascii="仿宋_GB2312" w:hAnsi="仿宋_GB2312" w:eastAsia="仿宋_GB2312" w:cs="仿宋_GB2312"/>
          <w:lang w:val="zh-CN"/>
        </w:rPr>
        <w:t>。</w:t>
      </w:r>
    </w:p>
    <w:p>
      <w:pPr>
        <w:pStyle w:val="5"/>
        <w:keepNext/>
        <w:keepLines/>
        <w:pageBreakBefore w:val="0"/>
        <w:widowControl/>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(二)“三公”经费财政拨款支出决算具体情况说明</w:t>
      </w:r>
    </w:p>
    <w:p>
      <w:pPr>
        <w:bidi w:val="0"/>
        <w:rPr>
          <w:rFonts w:hint="eastAsia" w:ascii="仿宋_GB2312" w:hAnsi="仿宋_GB2312" w:eastAsia="仿宋_GB2312" w:cs="仿宋_GB2312"/>
          <w:lang w:val="zh-CN"/>
        </w:rPr>
      </w:pPr>
      <w:r>
        <w:rPr>
          <w:rFonts w:hint="eastAsia" w:ascii="楷体_GB2312" w:hAnsi="楷体_GB2312" w:eastAsia="楷体_GB2312" w:cs="楷体_GB2312"/>
          <w:b/>
          <w:bCs/>
          <w:lang w:val="zh-CN"/>
        </w:rPr>
        <w:t>公务用车购置及运行维护费</w:t>
      </w:r>
      <w:r>
        <w:rPr>
          <w:rFonts w:hint="eastAsia" w:ascii="仿宋_GB2312" w:hAnsi="仿宋_GB2312" w:eastAsia="仿宋_GB2312" w:cs="仿宋_GB2312"/>
        </w:rPr>
        <w:t>全年</w:t>
      </w:r>
      <w:r>
        <w:rPr>
          <w:rFonts w:hint="eastAsia" w:ascii="仿宋_GB2312" w:hAnsi="仿宋_GB2312" w:eastAsia="仿宋_GB2312" w:cs="仿宋_GB2312"/>
          <w:lang w:val="zh-CN"/>
        </w:rPr>
        <w:t>预算数为0.16万元，支出决算为0.16万元，决算数</w:t>
      </w:r>
      <w:r>
        <w:rPr>
          <w:rFonts w:hint="eastAsia" w:ascii="仿宋_GB2312" w:hAnsi="仿宋_GB2312" w:eastAsia="仿宋_GB2312" w:cs="仿宋_GB2312"/>
          <w:lang w:val="en-US" w:eastAsia="zh-CN"/>
        </w:rPr>
        <w:t>与</w:t>
      </w:r>
      <w:r>
        <w:rPr>
          <w:rFonts w:hint="eastAsia" w:ascii="仿宋_GB2312" w:hAnsi="仿宋_GB2312" w:eastAsia="仿宋_GB2312" w:cs="仿宋_GB2312"/>
          <w:lang w:val="zh-CN"/>
        </w:rPr>
        <w:t>预算数</w:t>
      </w:r>
      <w:r>
        <w:rPr>
          <w:rFonts w:hint="eastAsia" w:ascii="仿宋_GB2312" w:hAnsi="仿宋_GB2312" w:eastAsia="仿宋_GB2312" w:cs="仿宋_GB2312"/>
          <w:lang w:val="en-US" w:eastAsia="zh-CN"/>
        </w:rPr>
        <w:t>一致</w:t>
      </w:r>
      <w:r>
        <w:rPr>
          <w:rFonts w:hint="eastAsia" w:ascii="仿宋_GB2312" w:hAnsi="仿宋_GB2312" w:eastAsia="仿宋_GB2312" w:cs="仿宋_GB2312"/>
          <w:lang w:val="zh-CN"/>
        </w:rPr>
        <w:t>，</w:t>
      </w:r>
      <w:r>
        <w:rPr>
          <w:rFonts w:hint="eastAsia" w:ascii="仿宋_GB2312" w:hAnsi="仿宋_GB2312" w:eastAsia="仿宋_GB2312" w:cs="仿宋_GB2312"/>
        </w:rPr>
        <w:t>较上年决算数减少0.11</w:t>
      </w:r>
      <w:r>
        <w:rPr>
          <w:rFonts w:hint="eastAsia" w:ascii="仿宋_GB2312" w:hAnsi="仿宋_GB2312" w:eastAsia="仿宋_GB2312" w:cs="仿宋_GB2312"/>
          <w:lang w:val="zh-CN"/>
        </w:rPr>
        <w:t>万元</w:t>
      </w:r>
      <w:r>
        <w:rPr>
          <w:rFonts w:hint="eastAsia" w:ascii="仿宋_GB2312" w:hAnsi="仿宋_GB2312" w:eastAsia="仿宋_GB2312" w:cs="仿宋_GB2312"/>
          <w:lang w:eastAsia="zh-CN"/>
        </w:rPr>
        <w:t>，</w:t>
      </w:r>
      <w:r>
        <w:rPr>
          <w:rFonts w:hint="eastAsia" w:ascii="仿宋_GB2312" w:hAnsi="仿宋_GB2312" w:eastAsia="仿宋_GB2312" w:cs="仿宋_GB2312"/>
        </w:rPr>
        <w:t>下降41.61</w:t>
      </w:r>
      <w:r>
        <w:rPr>
          <w:rFonts w:hint="eastAsia" w:ascii="仿宋_GB2312" w:hAnsi="仿宋_GB2312" w:eastAsia="仿宋_GB2312" w:cs="仿宋_GB2312"/>
          <w:lang w:val="zh-CN"/>
        </w:rPr>
        <w:t>%</w:t>
      </w:r>
      <w:r>
        <w:rPr>
          <w:rFonts w:hint="eastAsia" w:ascii="仿宋_GB2312" w:hAnsi="仿宋_GB2312" w:eastAsia="仿宋_GB2312" w:cs="仿宋_GB2312"/>
          <w:lang w:eastAsia="zh-CN"/>
        </w:rPr>
        <w:t>，</w:t>
      </w:r>
      <w:r>
        <w:rPr>
          <w:rFonts w:hint="eastAsia" w:ascii="仿宋_GB2312" w:hAnsi="仿宋_GB2312" w:eastAsia="仿宋_GB2312" w:cs="仿宋_GB2312"/>
        </w:rPr>
        <w:t>主要原因是</w:t>
      </w:r>
      <w:r>
        <w:rPr>
          <w:rFonts w:hint="eastAsia" w:ascii="仿宋_GB2312" w:hAnsi="仿宋_GB2312" w:eastAsia="仿宋_GB2312" w:cs="仿宋_GB2312"/>
          <w:lang w:val="en-US" w:eastAsia="zh-CN"/>
        </w:rPr>
        <w:t>落实财政过“紧日子”等相关政策减少相应支出。</w:t>
      </w:r>
    </w:p>
    <w:p>
      <w:pPr>
        <w:bidi w:val="0"/>
        <w:rPr>
          <w:rFonts w:hint="eastAsia" w:ascii="仿宋_GB2312" w:hAnsi="仿宋_GB2312" w:eastAsia="仿宋_GB2312" w:cs="仿宋_GB2312"/>
          <w:lang w:val="zh-CN"/>
        </w:rPr>
      </w:pPr>
      <w:r>
        <w:rPr>
          <w:rFonts w:hint="eastAsia" w:ascii="楷体_GB2312" w:hAnsi="楷体_GB2312" w:eastAsia="楷体_GB2312" w:cs="楷体_GB2312"/>
          <w:b/>
          <w:bCs/>
          <w:lang w:val="en-US" w:eastAsia="zh-CN"/>
        </w:rPr>
        <w:t>其中：</w:t>
      </w:r>
      <w:r>
        <w:rPr>
          <w:rFonts w:hint="eastAsia" w:ascii="楷体_GB2312" w:hAnsi="楷体_GB2312" w:eastAsia="楷体_GB2312" w:cs="楷体_GB2312"/>
          <w:b/>
          <w:bCs/>
          <w:lang w:val="zh-CN"/>
        </w:rPr>
        <w:t>公务用车运行维护费</w:t>
      </w:r>
      <w:r>
        <w:rPr>
          <w:rFonts w:hint="eastAsia" w:ascii="仿宋_GB2312" w:hAnsi="仿宋_GB2312" w:eastAsia="仿宋_GB2312" w:cs="仿宋_GB2312"/>
        </w:rPr>
        <w:t>全年</w:t>
      </w:r>
      <w:r>
        <w:rPr>
          <w:rFonts w:hint="eastAsia" w:ascii="仿宋_GB2312" w:hAnsi="仿宋_GB2312" w:eastAsia="仿宋_GB2312" w:cs="仿宋_GB2312"/>
          <w:lang w:val="zh-CN"/>
        </w:rPr>
        <w:t>预算数为0.16万元，支出决算为0.16万元，决算数</w:t>
      </w:r>
      <w:r>
        <w:rPr>
          <w:rFonts w:hint="eastAsia" w:ascii="仿宋_GB2312" w:hAnsi="仿宋_GB2312" w:eastAsia="仿宋_GB2312" w:cs="仿宋_GB2312"/>
          <w:lang w:val="en-US" w:eastAsia="zh-CN"/>
        </w:rPr>
        <w:t>与</w:t>
      </w:r>
      <w:r>
        <w:rPr>
          <w:rFonts w:hint="eastAsia" w:ascii="仿宋_GB2312" w:hAnsi="仿宋_GB2312" w:eastAsia="仿宋_GB2312" w:cs="仿宋_GB2312"/>
          <w:lang w:val="zh-CN"/>
        </w:rPr>
        <w:t>预算数</w:t>
      </w:r>
      <w:r>
        <w:rPr>
          <w:rFonts w:hint="eastAsia" w:ascii="仿宋_GB2312" w:hAnsi="仿宋_GB2312" w:eastAsia="仿宋_GB2312" w:cs="仿宋_GB2312"/>
          <w:lang w:val="en-US" w:eastAsia="zh-CN"/>
        </w:rPr>
        <w:t>一致</w:t>
      </w:r>
      <w:r>
        <w:rPr>
          <w:rFonts w:hint="eastAsia" w:ascii="仿宋_GB2312" w:hAnsi="仿宋_GB2312" w:eastAsia="仿宋_GB2312" w:cs="仿宋_GB2312"/>
          <w:lang w:val="zh-CN"/>
        </w:rPr>
        <w:t>，</w:t>
      </w:r>
      <w:r>
        <w:rPr>
          <w:rFonts w:hint="eastAsia" w:ascii="仿宋_GB2312" w:hAnsi="仿宋_GB2312" w:eastAsia="仿宋_GB2312" w:cs="仿宋_GB2312"/>
        </w:rPr>
        <w:t>较上年决算数减少0.11</w:t>
      </w:r>
      <w:r>
        <w:rPr>
          <w:rFonts w:hint="eastAsia" w:ascii="仿宋_GB2312" w:hAnsi="仿宋_GB2312" w:eastAsia="仿宋_GB2312" w:cs="仿宋_GB2312"/>
          <w:lang w:val="zh-CN"/>
        </w:rPr>
        <w:t>万元</w:t>
      </w:r>
      <w:r>
        <w:rPr>
          <w:rFonts w:hint="eastAsia" w:ascii="仿宋_GB2312" w:hAnsi="仿宋_GB2312" w:eastAsia="仿宋_GB2312" w:cs="仿宋_GB2312"/>
          <w:lang w:eastAsia="zh-CN"/>
        </w:rPr>
        <w:t>，</w:t>
      </w:r>
      <w:r>
        <w:rPr>
          <w:rFonts w:hint="eastAsia" w:ascii="仿宋_GB2312" w:hAnsi="仿宋_GB2312" w:eastAsia="仿宋_GB2312" w:cs="仿宋_GB2312"/>
        </w:rPr>
        <w:t>下降41.61</w:t>
      </w:r>
      <w:r>
        <w:rPr>
          <w:rFonts w:hint="eastAsia" w:ascii="仿宋_GB2312" w:hAnsi="仿宋_GB2312" w:eastAsia="仿宋_GB2312" w:cs="仿宋_GB2312"/>
          <w:lang w:val="zh-CN"/>
        </w:rPr>
        <w:t>%</w:t>
      </w:r>
      <w:r>
        <w:rPr>
          <w:rFonts w:hint="eastAsia" w:ascii="仿宋_GB2312" w:hAnsi="仿宋_GB2312" w:eastAsia="仿宋_GB2312" w:cs="仿宋_GB2312"/>
          <w:lang w:eastAsia="zh-CN"/>
        </w:rPr>
        <w:t>，</w:t>
      </w:r>
      <w:r>
        <w:rPr>
          <w:rFonts w:hint="eastAsia" w:ascii="仿宋_GB2312" w:hAnsi="仿宋_GB2312" w:eastAsia="仿宋_GB2312" w:cs="仿宋_GB2312"/>
        </w:rPr>
        <w:t>主要原因是</w:t>
      </w:r>
      <w:r>
        <w:rPr>
          <w:rFonts w:hint="eastAsia" w:ascii="仿宋_GB2312" w:hAnsi="仿宋_GB2312" w:eastAsia="仿宋_GB2312" w:cs="仿宋_GB2312"/>
          <w:lang w:val="en-US" w:eastAsia="zh-CN"/>
        </w:rPr>
        <w:t>落实财政过“紧日子”等相关政策减少相应支出。</w:t>
      </w:r>
    </w:p>
    <w:p>
      <w:pPr>
        <w:bidi w:val="0"/>
        <w:rPr>
          <w:rFonts w:hint="eastAsia"/>
          <w:lang w:val="en-US" w:eastAsia="zh-CN"/>
        </w:rPr>
      </w:pPr>
      <w:r>
        <w:rPr>
          <w:rFonts w:hint="eastAsia" w:ascii="楷体_GB2312" w:hAnsi="楷体_GB2312" w:eastAsia="楷体_GB2312" w:cs="楷体_GB2312"/>
          <w:b/>
          <w:bCs/>
          <w:lang w:val="zh-CN"/>
        </w:rPr>
        <w:t>公务接待费</w:t>
      </w:r>
      <w:r>
        <w:rPr>
          <w:rFonts w:hint="eastAsia" w:ascii="仿宋_GB2312" w:hAnsi="仿宋_GB2312" w:eastAsia="仿宋_GB2312" w:cs="仿宋_GB2312"/>
        </w:rPr>
        <w:t>全</w:t>
      </w:r>
      <w:r>
        <w:rPr>
          <w:rFonts w:hint="eastAsia" w:ascii="仿宋_GB2312" w:hAnsi="仿宋_GB2312" w:eastAsia="仿宋_GB2312" w:cs="仿宋_GB2312"/>
          <w:lang w:val="zh-CN"/>
        </w:rPr>
        <w:t>年预算数为0.02万元，支出决算为0.02万元，决算数</w:t>
      </w:r>
      <w:r>
        <w:rPr>
          <w:rFonts w:hint="eastAsia" w:ascii="仿宋_GB2312" w:hAnsi="仿宋_GB2312" w:eastAsia="仿宋_GB2312" w:cs="仿宋_GB2312"/>
          <w:lang w:val="en-US" w:eastAsia="zh-CN"/>
        </w:rPr>
        <w:t>与</w:t>
      </w:r>
      <w:r>
        <w:rPr>
          <w:rFonts w:hint="eastAsia" w:ascii="仿宋_GB2312" w:hAnsi="仿宋_GB2312" w:eastAsia="仿宋_GB2312" w:cs="仿宋_GB2312"/>
          <w:lang w:val="zh-CN"/>
        </w:rPr>
        <w:t>预算数</w:t>
      </w:r>
      <w:r>
        <w:rPr>
          <w:rFonts w:hint="eastAsia" w:ascii="仿宋_GB2312" w:hAnsi="仿宋_GB2312" w:eastAsia="仿宋_GB2312" w:cs="仿宋_GB2312"/>
          <w:lang w:val="en-US" w:eastAsia="zh-CN"/>
        </w:rPr>
        <w:t>一致</w:t>
      </w:r>
      <w:r>
        <w:rPr>
          <w:rFonts w:hint="eastAsia" w:ascii="仿宋_GB2312" w:hAnsi="仿宋_GB2312" w:eastAsia="仿宋_GB2312" w:cs="仿宋_GB2312"/>
          <w:lang w:val="zh-CN"/>
        </w:rPr>
        <w:t>，</w:t>
      </w:r>
      <w:r>
        <w:rPr>
          <w:rFonts w:hint="eastAsia" w:ascii="仿宋_GB2312" w:hAnsi="仿宋_GB2312" w:eastAsia="仿宋_GB2312" w:cs="仿宋_GB2312"/>
        </w:rPr>
        <w:t>较上年决算数</w:t>
      </w:r>
      <w:r>
        <w:rPr>
          <w:rFonts w:hint="eastAsia" w:ascii="仿宋_GB2312" w:hAnsi="仿宋_GB2312" w:eastAsia="仿宋_GB2312" w:cs="仿宋_GB2312"/>
          <w:lang w:val="en-US" w:eastAsia="zh-CN"/>
        </w:rPr>
        <w:t>一致</w:t>
      </w:r>
      <w:r>
        <w:rPr>
          <w:rFonts w:hint="eastAsia"/>
          <w:lang w:val="en-US" w:eastAsia="zh-CN"/>
        </w:rPr>
        <w:t>。</w:t>
      </w:r>
    </w:p>
    <w:p>
      <w:pPr>
        <w:pStyle w:val="5"/>
        <w:keepNext/>
        <w:keepLines/>
        <w:pageBreakBefore w:val="0"/>
        <w:widowControl/>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lang w:val="zh-CN"/>
        </w:rPr>
      </w:pPr>
      <w:r>
        <w:rPr>
          <w:rFonts w:hint="eastAsia" w:ascii="楷体_GB2312" w:hAnsi="楷体_GB2312" w:eastAsia="楷体_GB2312" w:cs="楷体_GB2312"/>
          <w:b/>
          <w:bCs/>
          <w:lang w:val="zh-CN"/>
        </w:rPr>
        <w:t>(三)“三公”经费财政拨款支出决算实物量情况</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2022年度本部门公务用车保有量为1辆；国内公务接待1批次1人。</w:t>
      </w:r>
    </w:p>
    <w:p>
      <w:pPr>
        <w:pStyle w:val="3"/>
        <w:bidi w:val="0"/>
        <w:rPr>
          <w:rFonts w:ascii="宋体"/>
          <w:b w:val="0"/>
          <w:bCs w:val="0"/>
          <w:sz w:val="32"/>
          <w:szCs w:val="32"/>
          <w:lang w:val="zh-CN"/>
        </w:rPr>
      </w:pPr>
      <w:r>
        <w:rPr>
          <w:rFonts w:hint="eastAsia"/>
          <w:b w:val="0"/>
          <w:bCs w:val="0"/>
          <w:sz w:val="32"/>
          <w:szCs w:val="32"/>
          <w:lang w:val="zh-CN"/>
        </w:rPr>
        <w:t>第四部分</w:t>
      </w:r>
      <w:r>
        <w:rPr>
          <w:rFonts w:hint="eastAsia"/>
          <w:b w:val="0"/>
          <w:bCs w:val="0"/>
          <w:sz w:val="32"/>
          <w:szCs w:val="32"/>
          <w:lang w:val="en-US" w:eastAsia="zh-CN"/>
        </w:rPr>
        <w:t xml:space="preserve"> </w:t>
      </w:r>
      <w:r>
        <w:rPr>
          <w:rFonts w:hint="eastAsia"/>
          <w:b w:val="0"/>
          <w:bCs w:val="0"/>
          <w:sz w:val="32"/>
          <w:szCs w:val="32"/>
          <w:lang w:val="zh-CN"/>
        </w:rPr>
        <w:t>预算绩效情况说明</w:t>
      </w:r>
    </w:p>
    <w:p>
      <w:pPr>
        <w:bidi w:val="0"/>
        <w:rPr>
          <w:rFonts w:ascii="宋体"/>
          <w:szCs w:val="24"/>
          <w:lang w:val="zh-CN"/>
        </w:rPr>
      </w:pPr>
      <w:r>
        <w:rPr>
          <w:rFonts w:hint="eastAsia"/>
          <w:lang w:val="zh-CN"/>
        </w:rPr>
        <w:t>本单位预算绩效评价工作由甘肃省农垦事业办公室统一开展。</w:t>
      </w:r>
    </w:p>
    <w:p>
      <w:pPr>
        <w:pStyle w:val="3"/>
        <w:bidi w:val="0"/>
        <w:rPr>
          <w:rFonts w:ascii="宋体"/>
          <w:sz w:val="32"/>
          <w:szCs w:val="32"/>
          <w:lang w:val="zh-CN"/>
        </w:rPr>
      </w:pPr>
      <w:r>
        <w:rPr>
          <w:rFonts w:hint="eastAsia"/>
          <w:sz w:val="32"/>
          <w:szCs w:val="32"/>
          <w:lang w:val="zh-CN"/>
        </w:rPr>
        <w:t>第五部分</w:t>
      </w:r>
      <w:r>
        <w:rPr>
          <w:rFonts w:hint="eastAsia"/>
          <w:sz w:val="32"/>
          <w:szCs w:val="32"/>
          <w:lang w:val="en-US" w:eastAsia="zh-CN"/>
        </w:rPr>
        <w:t xml:space="preserve"> </w:t>
      </w:r>
      <w:r>
        <w:rPr>
          <w:rFonts w:hint="eastAsia"/>
          <w:sz w:val="32"/>
          <w:szCs w:val="32"/>
          <w:lang w:val="zh-CN"/>
        </w:rPr>
        <w:t>名词解释</w:t>
      </w:r>
    </w:p>
    <w:p>
      <w:pPr>
        <w:jc w:val="left"/>
        <w:rPr>
          <w:rFonts w:ascii="宋体"/>
          <w:sz w:val="24"/>
          <w:szCs w:val="24"/>
          <w:lang w:val="zh-CN"/>
        </w:rPr>
      </w:pPr>
      <w:r>
        <w:rPr>
          <w:rStyle w:val="14"/>
          <w:rFonts w:hint="eastAsia"/>
          <w:lang w:val="zh-CN"/>
        </w:rPr>
        <w:t>一、财政拨款收入：</w:t>
      </w:r>
      <w:r>
        <w:rPr>
          <w:rFonts w:hint="eastAsia"/>
          <w:lang w:val="zh-CN"/>
        </w:rPr>
        <w:t>指本年度从本级财政部门取得的财政拨款，包括一般公共预算财政拨款和政府性基金预算财政拨款。</w:t>
      </w:r>
    </w:p>
    <w:p>
      <w:pPr>
        <w:jc w:val="left"/>
        <w:rPr>
          <w:rFonts w:ascii="宋体"/>
          <w:sz w:val="24"/>
          <w:szCs w:val="24"/>
          <w:lang w:val="zh-CN"/>
        </w:rPr>
      </w:pPr>
      <w:r>
        <w:rPr>
          <w:rStyle w:val="14"/>
          <w:rFonts w:hint="eastAsia"/>
          <w:lang w:val="zh-CN"/>
        </w:rPr>
        <w:t>二、事业收入：</w:t>
      </w:r>
      <w:r>
        <w:rPr>
          <w:rFonts w:hint="eastAsia"/>
          <w:lang w:val="zh-CN"/>
        </w:rPr>
        <w:t>指事业单位开展专业业务活动及其辅助活动取得的现金流入；事业单位收到的财政专户实际核拨的教育收费等资金在此反映。</w:t>
      </w:r>
    </w:p>
    <w:p>
      <w:pPr>
        <w:jc w:val="left"/>
        <w:rPr>
          <w:rFonts w:ascii="宋体"/>
          <w:sz w:val="24"/>
          <w:szCs w:val="24"/>
          <w:lang w:val="zh-CN"/>
        </w:rPr>
      </w:pPr>
      <w:r>
        <w:rPr>
          <w:rStyle w:val="14"/>
          <w:rFonts w:hint="eastAsia"/>
          <w:lang w:val="zh-CN"/>
        </w:rPr>
        <w:t>三、经营收入：</w:t>
      </w:r>
      <w:r>
        <w:rPr>
          <w:rFonts w:hint="eastAsia"/>
          <w:lang w:val="zh-CN"/>
        </w:rPr>
        <w:t>指事业单位在专业业务活动及其辅助活动之外开展非独立核算经营活动取得的现金流入。</w:t>
      </w:r>
    </w:p>
    <w:p>
      <w:pPr>
        <w:jc w:val="left"/>
        <w:rPr>
          <w:rFonts w:ascii="宋体"/>
          <w:sz w:val="24"/>
          <w:szCs w:val="24"/>
          <w:lang w:val="zh-CN"/>
        </w:rPr>
      </w:pPr>
      <w:r>
        <w:rPr>
          <w:rStyle w:val="14"/>
          <w:rFonts w:hint="eastAsia"/>
          <w:lang w:val="zh-CN"/>
        </w:rPr>
        <w:t>四、其他收入：</w:t>
      </w:r>
      <w:r>
        <w:rPr>
          <w:rFonts w:hint="eastAsia"/>
          <w:lang w:val="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jc w:val="left"/>
        <w:rPr>
          <w:lang w:val="zh-CN"/>
        </w:rPr>
      </w:pPr>
      <w:r>
        <w:rPr>
          <w:rStyle w:val="14"/>
          <w:rFonts w:hint="eastAsia"/>
          <w:lang w:val="zh-CN"/>
        </w:rPr>
        <w:t>五、年初结转和结余：</w:t>
      </w:r>
      <w:r>
        <w:rPr>
          <w:rFonts w:hint="eastAsia"/>
          <w:lang w:val="zh-CN"/>
        </w:rPr>
        <w:t>指单位上年结转本年使用的基本支出结转、项目支出结转和结余、经营结余。</w:t>
      </w:r>
    </w:p>
    <w:p>
      <w:pPr>
        <w:jc w:val="left"/>
        <w:rPr>
          <w:rFonts w:ascii="宋体"/>
          <w:sz w:val="24"/>
          <w:szCs w:val="24"/>
          <w:lang w:val="zh-CN"/>
        </w:rPr>
      </w:pPr>
      <w:r>
        <w:rPr>
          <w:rStyle w:val="14"/>
          <w:rFonts w:hint="eastAsia"/>
          <w:lang w:val="zh-CN"/>
        </w:rPr>
        <w:t>六、结余分配：</w:t>
      </w:r>
      <w:r>
        <w:rPr>
          <w:rFonts w:hint="eastAsia"/>
          <w:lang w:val="zh-CN"/>
        </w:rPr>
        <w:t>指单位按照国家有关规定，缴纳所得税、提取专用基金、转入事业基金等当年结余的分配情况。</w:t>
      </w:r>
    </w:p>
    <w:p>
      <w:pPr>
        <w:jc w:val="left"/>
        <w:rPr>
          <w:lang w:val="zh-CN"/>
        </w:rPr>
      </w:pPr>
      <w:r>
        <w:rPr>
          <w:rStyle w:val="14"/>
          <w:rFonts w:hint="eastAsia"/>
          <w:lang w:val="zh-CN"/>
        </w:rPr>
        <w:t>七、年末结转和结余：</w:t>
      </w:r>
      <w:r>
        <w:rPr>
          <w:rFonts w:hint="eastAsia"/>
          <w:lang w:val="zh-CN"/>
        </w:rPr>
        <w:t>指单位结转下年的基本支出结转、项目支出结转和结余、经营结余。</w:t>
      </w:r>
    </w:p>
    <w:p>
      <w:pPr>
        <w:jc w:val="left"/>
        <w:rPr>
          <w:rFonts w:ascii="宋体"/>
          <w:sz w:val="24"/>
          <w:szCs w:val="24"/>
          <w:lang w:val="zh-CN"/>
        </w:rPr>
      </w:pPr>
      <w:r>
        <w:rPr>
          <w:rStyle w:val="14"/>
          <w:rFonts w:hint="eastAsia"/>
          <w:lang w:val="zh-CN"/>
        </w:rPr>
        <w:t>八、基本支出：</w:t>
      </w:r>
      <w:r>
        <w:rPr>
          <w:rFonts w:hint="eastAsia"/>
          <w:lang w:val="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r>
        <w:rPr>
          <w:rFonts w:hint="eastAsia" w:ascii="宋体" w:hAnsi="宋体"/>
          <w:sz w:val="24"/>
          <w:szCs w:val="24"/>
          <w:lang w:val="zh-CN"/>
        </w:rPr>
        <w:t>。</w:t>
      </w:r>
    </w:p>
    <w:p>
      <w:pPr>
        <w:jc w:val="left"/>
        <w:rPr>
          <w:lang w:val="zh-CN"/>
        </w:rPr>
      </w:pPr>
      <w:r>
        <w:rPr>
          <w:rStyle w:val="14"/>
          <w:rFonts w:hint="eastAsia"/>
          <w:lang w:val="zh-CN"/>
        </w:rPr>
        <w:t>九、项目支出：</w:t>
      </w:r>
      <w:r>
        <w:rPr>
          <w:rFonts w:hint="eastAsia"/>
          <w:lang w:val="zh-CN"/>
        </w:rPr>
        <w:t>指在基本支出之外为完成特定行政任务和事业发展目标所发生的支出。</w:t>
      </w:r>
    </w:p>
    <w:p>
      <w:pPr>
        <w:jc w:val="left"/>
        <w:rPr>
          <w:lang w:val="zh-CN"/>
        </w:rPr>
      </w:pPr>
      <w:r>
        <w:rPr>
          <w:rStyle w:val="14"/>
          <w:rFonts w:hint="eastAsia"/>
          <w:lang w:val="zh-CN"/>
        </w:rPr>
        <w:t>十、经营支出：</w:t>
      </w:r>
      <w:r>
        <w:rPr>
          <w:rFonts w:hint="eastAsia"/>
          <w:lang w:val="zh-CN"/>
        </w:rPr>
        <w:t>指事业单位在专业业务活动及其辅助活动之外开展非独立核算经营活动发生的支出。</w:t>
      </w:r>
    </w:p>
    <w:p>
      <w:pPr>
        <w:jc w:val="left"/>
        <w:rPr>
          <w:rFonts w:ascii="宋体"/>
          <w:sz w:val="24"/>
          <w:szCs w:val="24"/>
          <w:lang w:val="zh-CN"/>
        </w:rPr>
      </w:pPr>
      <w:r>
        <w:rPr>
          <w:rStyle w:val="14"/>
          <w:rFonts w:hint="eastAsia"/>
          <w:lang w:val="zh-CN"/>
        </w:rPr>
        <w:t>十一、</w:t>
      </w:r>
      <w:r>
        <w:rPr>
          <w:rStyle w:val="14"/>
          <w:lang w:val="zh-CN"/>
        </w:rPr>
        <w:t>“</w:t>
      </w:r>
      <w:r>
        <w:rPr>
          <w:rStyle w:val="14"/>
          <w:rFonts w:hint="eastAsia"/>
          <w:lang w:val="zh-CN"/>
        </w:rPr>
        <w:t>三公</w:t>
      </w:r>
      <w:r>
        <w:rPr>
          <w:rStyle w:val="14"/>
          <w:lang w:val="zh-CN"/>
        </w:rPr>
        <w:t>”</w:t>
      </w:r>
      <w:r>
        <w:rPr>
          <w:rStyle w:val="14"/>
          <w:rFonts w:hint="eastAsia"/>
          <w:lang w:val="zh-CN"/>
        </w:rPr>
        <w:t>经费：</w:t>
      </w:r>
      <w:r>
        <w:rPr>
          <w:rFonts w:hint="eastAsia"/>
          <w:lang w:val="zh-CN"/>
        </w:rPr>
        <w:t>指用一般公共预算财政拨款安排的因公出国</w:t>
      </w:r>
      <w:r>
        <w:rPr>
          <w:lang w:val="zh-CN"/>
        </w:rPr>
        <w:t>(</w:t>
      </w:r>
      <w:r>
        <w:rPr>
          <w:rFonts w:hint="eastAsia"/>
          <w:lang w:val="zh-CN"/>
        </w:rPr>
        <w:t>境</w:t>
      </w:r>
      <w:r>
        <w:rPr>
          <w:lang w:val="zh-CN"/>
        </w:rPr>
        <w:t>)</w:t>
      </w:r>
      <w:r>
        <w:rPr>
          <w:rFonts w:hint="eastAsia"/>
          <w:lang w:val="zh-CN"/>
        </w:rPr>
        <w:t>费、公务用车购置及运行维护费、公务接待费。其中，因公出国</w:t>
      </w:r>
      <w:r>
        <w:rPr>
          <w:lang w:val="zh-CN"/>
        </w:rPr>
        <w:t>(</w:t>
      </w:r>
      <w:r>
        <w:rPr>
          <w:rFonts w:hint="eastAsia"/>
          <w:lang w:val="zh-CN"/>
        </w:rPr>
        <w:t>境</w:t>
      </w:r>
      <w:r>
        <w:rPr>
          <w:lang w:val="zh-CN"/>
        </w:rPr>
        <w:t>)</w:t>
      </w:r>
      <w:r>
        <w:rPr>
          <w:rFonts w:hint="eastAsia"/>
          <w:lang w:val="zh-CN"/>
        </w:rPr>
        <w:t>费反映单位公务出国</w:t>
      </w:r>
      <w:r>
        <w:rPr>
          <w:lang w:val="zh-CN"/>
        </w:rPr>
        <w:t>(</w:t>
      </w:r>
      <w:r>
        <w:rPr>
          <w:rFonts w:hint="eastAsia"/>
          <w:lang w:val="zh-CN"/>
        </w:rPr>
        <w:t>境</w:t>
      </w:r>
      <w:r>
        <w:rPr>
          <w:lang w:val="zh-CN"/>
        </w:rPr>
        <w:t>)</w:t>
      </w:r>
      <w:r>
        <w:rPr>
          <w:rFonts w:hint="eastAsia"/>
          <w:lang w:val="zh-CN"/>
        </w:rPr>
        <w:t>的国际旅费、国外城市间交通费、住宿费、伙食费、培训费、公杂费等支出；公务用车购置费反映单位公务用车购置支出</w:t>
      </w:r>
      <w:r>
        <w:rPr>
          <w:lang w:val="zh-CN"/>
        </w:rPr>
        <w:t>(</w:t>
      </w:r>
      <w:r>
        <w:rPr>
          <w:rFonts w:hint="eastAsia"/>
          <w:lang w:val="zh-CN"/>
        </w:rPr>
        <w:t>含车辆购置税</w:t>
      </w:r>
      <w:r>
        <w:rPr>
          <w:lang w:val="zh-CN"/>
        </w:rPr>
        <w:t>)</w:t>
      </w:r>
      <w:r>
        <w:rPr>
          <w:rFonts w:hint="eastAsia"/>
          <w:lang w:val="zh-CN"/>
        </w:rPr>
        <w:t>；公务用车运行维护费反映单位按规定保留的公务用车燃料费、维修费、过路过桥费、保险费、安全奖励费用等支出；公务接待费反映单位按规定开支的各类公务接待</w:t>
      </w:r>
      <w:r>
        <w:rPr>
          <w:lang w:val="zh-CN"/>
        </w:rPr>
        <w:t>(</w:t>
      </w:r>
      <w:r>
        <w:rPr>
          <w:rFonts w:hint="eastAsia"/>
          <w:lang w:val="zh-CN"/>
        </w:rPr>
        <w:t>含外宾接待</w:t>
      </w:r>
      <w:r>
        <w:rPr>
          <w:lang w:val="zh-CN"/>
        </w:rPr>
        <w:t>)</w:t>
      </w:r>
      <w:r>
        <w:rPr>
          <w:rFonts w:hint="eastAsia"/>
          <w:lang w:val="zh-CN"/>
        </w:rPr>
        <w:t>支出。</w:t>
      </w:r>
    </w:p>
    <w:p>
      <w:pPr>
        <w:jc w:val="left"/>
      </w:pPr>
      <w:r>
        <w:rPr>
          <w:rStyle w:val="14"/>
          <w:rFonts w:hint="eastAsia"/>
          <w:lang w:val="zh-CN"/>
        </w:rPr>
        <w:t>十二、机关运行经费：</w:t>
      </w:r>
      <w:r>
        <w:rPr>
          <w:rFonts w:hint="eastAsia"/>
          <w:lang w:val="zh-CN"/>
        </w:rPr>
        <w:t>为保障行政单位</w:t>
      </w:r>
      <w:r>
        <w:rPr>
          <w:lang w:val="zh-CN"/>
        </w:rPr>
        <w:t>(</w:t>
      </w:r>
      <w:r>
        <w:rPr>
          <w:rFonts w:hint="eastAsia"/>
          <w:lang w:val="zh-CN"/>
        </w:rPr>
        <w:t>含参照公务员法管理的事业单位</w:t>
      </w:r>
      <w:r>
        <w:rPr>
          <w:lang w:val="zh-CN"/>
        </w:rPr>
        <w:t>)</w:t>
      </w:r>
      <w:r>
        <w:rPr>
          <w:rFonts w:hint="eastAsia"/>
          <w:lang w:val="zh-CN"/>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1A96C"/>
    <w:multiLevelType w:val="singleLevel"/>
    <w:tmpl w:val="A541A96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JjNGJmOTVlYWIzZGE3MmZlNWFiZGQzNTI1NmI1ZTAifQ=="/>
  </w:docVars>
  <w:rsids>
    <w:rsidRoot w:val="00A06E69"/>
    <w:rsid w:val="002971A2"/>
    <w:rsid w:val="004A6895"/>
    <w:rsid w:val="007030BE"/>
    <w:rsid w:val="008C350F"/>
    <w:rsid w:val="00A06E69"/>
    <w:rsid w:val="04506958"/>
    <w:rsid w:val="049B69AA"/>
    <w:rsid w:val="116B2AC2"/>
    <w:rsid w:val="13596EAB"/>
    <w:rsid w:val="18434437"/>
    <w:rsid w:val="1E9D2342"/>
    <w:rsid w:val="21BB54E6"/>
    <w:rsid w:val="2D9A3018"/>
    <w:rsid w:val="32902492"/>
    <w:rsid w:val="402C0554"/>
    <w:rsid w:val="55390DC0"/>
    <w:rsid w:val="6F280F2C"/>
    <w:rsid w:val="752E2E69"/>
    <w:rsid w:val="78C20C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0" w:semiHidden="0" w:name="Note Heading" w:locked="1"/>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0" w:semiHidden="0" w:name="HTML Typewriter" w:locked="1"/>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480" w:firstLineChars="200"/>
      <w:jc w:val="left"/>
    </w:pPr>
    <w:rPr>
      <w:rFonts w:ascii="Calibri" w:hAnsi="Calibri" w:eastAsia="仿宋_GB2312" w:cs="Arial"/>
      <w:kern w:val="2"/>
      <w:sz w:val="32"/>
      <w:szCs w:val="20"/>
      <w:lang w:val="en-US" w:eastAsia="zh-CN" w:bidi="ar-SA"/>
    </w:rPr>
  </w:style>
  <w:style w:type="paragraph" w:styleId="3">
    <w:name w:val="heading 1"/>
    <w:basedOn w:val="1"/>
    <w:next w:val="1"/>
    <w:link w:val="15"/>
    <w:qFormat/>
    <w:locked/>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4">
    <w:name w:val="heading 2"/>
    <w:basedOn w:val="1"/>
    <w:next w:val="1"/>
    <w:link w:val="14"/>
    <w:unhideWhenUsed/>
    <w:qFormat/>
    <w:locked/>
    <w:uiPriority w:val="0"/>
    <w:pPr>
      <w:keepNext/>
      <w:keepLines/>
      <w:spacing w:beforeLines="0" w:beforeAutospacing="0" w:afterLines="0" w:afterAutospacing="0" w:line="560" w:lineRule="exact"/>
      <w:ind w:firstLine="480" w:firstLineChars="200"/>
      <w:outlineLvl w:val="1"/>
    </w:pPr>
    <w:rPr>
      <w:rFonts w:ascii="Arial" w:hAnsi="Arial" w:eastAsia="黑体"/>
    </w:rPr>
  </w:style>
  <w:style w:type="paragraph" w:styleId="5">
    <w:name w:val="heading 3"/>
    <w:basedOn w:val="1"/>
    <w:next w:val="1"/>
    <w:link w:val="16"/>
    <w:unhideWhenUsed/>
    <w:qFormat/>
    <w:locked/>
    <w:uiPriority w:val="0"/>
    <w:pPr>
      <w:keepNext/>
      <w:keepLines/>
      <w:spacing w:beforeLines="0" w:beforeAutospacing="0" w:afterLines="0" w:afterAutospacing="0" w:line="560" w:lineRule="exact"/>
      <w:ind w:firstLine="0" w:firstLineChars="0"/>
      <w:outlineLvl w:val="2"/>
    </w:pPr>
    <w:rPr>
      <w:rFonts w:eastAsia="楷体_GB2312"/>
    </w:rPr>
  </w:style>
  <w:style w:type="paragraph" w:styleId="6">
    <w:name w:val="heading 4"/>
    <w:basedOn w:val="1"/>
    <w:next w:val="1"/>
    <w:link w:val="17"/>
    <w:semiHidden/>
    <w:unhideWhenUsed/>
    <w:qFormat/>
    <w:locked/>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2">
    <w:name w:val="Header Char"/>
    <w:basedOn w:val="11"/>
    <w:link w:val="8"/>
    <w:semiHidden/>
    <w:uiPriority w:val="99"/>
    <w:rPr>
      <w:rFonts w:ascii="Calibri" w:hAnsi="Calibri" w:cs="Arial"/>
      <w:sz w:val="18"/>
      <w:szCs w:val="18"/>
    </w:rPr>
  </w:style>
  <w:style w:type="character" w:customStyle="1" w:styleId="13">
    <w:name w:val="Footer Char"/>
    <w:basedOn w:val="11"/>
    <w:link w:val="7"/>
    <w:semiHidden/>
    <w:qFormat/>
    <w:uiPriority w:val="99"/>
    <w:rPr>
      <w:rFonts w:ascii="Calibri" w:hAnsi="Calibri" w:cs="Arial"/>
      <w:sz w:val="18"/>
      <w:szCs w:val="18"/>
    </w:rPr>
  </w:style>
  <w:style w:type="character" w:customStyle="1" w:styleId="14">
    <w:name w:val="标题 2 Char"/>
    <w:link w:val="4"/>
    <w:qFormat/>
    <w:uiPriority w:val="0"/>
    <w:rPr>
      <w:rFonts w:ascii="Arial" w:hAnsi="Arial" w:eastAsia="黑体"/>
    </w:rPr>
  </w:style>
  <w:style w:type="character" w:customStyle="1" w:styleId="15">
    <w:name w:val="标题 1 Char"/>
    <w:link w:val="3"/>
    <w:uiPriority w:val="0"/>
    <w:rPr>
      <w:rFonts w:eastAsia="方正小标宋简体"/>
      <w:kern w:val="44"/>
      <w:sz w:val="44"/>
    </w:rPr>
  </w:style>
  <w:style w:type="character" w:customStyle="1" w:styleId="16">
    <w:name w:val="标题 3 Char"/>
    <w:link w:val="5"/>
    <w:uiPriority w:val="0"/>
    <w:rPr>
      <w:rFonts w:eastAsia="楷体_GB2312"/>
    </w:rPr>
  </w:style>
  <w:style w:type="character" w:customStyle="1" w:styleId="17">
    <w:name w:val="标题 4 Char"/>
    <w:link w:val="6"/>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10</Pages>
  <Words>3261</Words>
  <Characters>3553</Characters>
  <Lines>0</Lines>
  <Paragraphs>0</Paragraphs>
  <TotalTime>34</TotalTime>
  <ScaleCrop>false</ScaleCrop>
  <LinksUpToDate>false</LinksUpToDate>
  <CharactersWithSpaces>3563</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2023-08-09T08:13:00Z</dcterms:created>
  <dc:creator>O.L.Problem without you</dc:creator>
  <cp:lastModifiedBy>admin</cp:lastModifiedBy>
  <dcterms:modified xsi:type="dcterms:W3CDTF">2023-08-14T08:08:23Z</dcterms:modified>
  <dc:title>2022年度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E06D266F13EA4024808CEEADBAD91186_11</vt:lpwstr>
  </property>
</Properties>
</file>