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2022年度甘肃省农垦集团公司</w:t>
      </w:r>
    </w:p>
    <w:p>
      <w:pPr>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平凉离退休工作站决算</w:t>
      </w:r>
    </w:p>
    <w:p>
      <w:pPr>
        <w:jc w:val="center"/>
        <w:rPr>
          <w:rFonts w:hint="eastAsia" w:ascii="方正小标宋简体" w:hAnsi="方正小标宋简体" w:eastAsia="方正小标宋简体" w:cs="方正小标宋简体"/>
          <w:b w:val="0"/>
          <w:bCs w:val="0"/>
          <w:sz w:val="44"/>
          <w:szCs w:val="4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hint="eastAsia" w:ascii="仿宋" w:hAnsi="仿宋" w:eastAsia="仿宋" w:cs="仿宋"/>
          <w:sz w:val="24"/>
          <w:szCs w:val="24"/>
          <w:lang w:val="zh-CN"/>
        </w:rPr>
      </w:pPr>
    </w:p>
    <w:p>
      <w:pPr>
        <w:jc w:val="center"/>
        <w:rPr>
          <w:rFonts w:hint="eastAsia" w:ascii="仿宋" w:hAnsi="仿宋" w:eastAsia="仿宋" w:cs="仿宋"/>
          <w:sz w:val="24"/>
          <w:szCs w:val="24"/>
          <w:lang w:val="zh-CN"/>
        </w:rPr>
      </w:pPr>
      <w:r>
        <w:rPr>
          <w:rFonts w:hint="eastAsia" w:ascii="仿宋_GB2312" w:hAnsi="仿宋_GB2312" w:eastAsia="仿宋_GB2312" w:cs="仿宋_GB2312"/>
          <w:b/>
          <w:sz w:val="32"/>
          <w:szCs w:val="32"/>
          <w:lang w:val="zh-CN"/>
        </w:rPr>
        <w:t>目录</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第一部分部门概况</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一、部门职责</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二、机构设置</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第二部分2022年度部门决算表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一、收入支出决算总表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二、收入决算表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三、支出决算表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四、财政拨款收入支出决算总表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五、一般公共预算财政拨款支出决算表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六、一般公共预算财政拨款基本支出决算明细表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七、政府性基金预算财政拨款收入支出决算表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八、国有资本经营预算财政拨款支出决算表</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九、财政拨款“三公”经费支出决算表</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第三部分2022年度部门决算情况说明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一、收入支出决算总体情况说明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二、收入决算情况说明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三、支出决算情况说明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四、财政拨款收入支出决算总体情况说明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五、一般公共预算财政拨款支出决算情况说明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六、一般公共预算财政拨款基本支出决算情况说明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七、机关运行经费支出情况说明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八、政府采购支出情况说明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九、国有资产占用情况说明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十、政府性基金预算财政拨款收支决算情况说明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十一、国有资本经营预算财政拨款支出情况说明</w:t>
      </w:r>
    </w:p>
    <w:p>
      <w:pPr>
        <w:jc w:val="left"/>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十二、财政拨款“三公”经费支出决算情况说明</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第四部分预算绩效情况说明</w:t>
      </w:r>
    </w:p>
    <w:p>
      <w:pPr>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第五部分名词解释</w:t>
      </w: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pStyle w:val="2"/>
        <w:rPr>
          <w:rFonts w:ascii="宋体"/>
          <w:sz w:val="24"/>
          <w:szCs w:val="24"/>
          <w:lang w:val="zh-CN"/>
        </w:rPr>
      </w:pPr>
    </w:p>
    <w:p>
      <w:pPr>
        <w:jc w:val="center"/>
        <w:rPr>
          <w:rFonts w:ascii="宋体"/>
          <w:sz w:val="24"/>
          <w:szCs w:val="24"/>
          <w:lang w:val="zh-CN"/>
        </w:rPr>
      </w:pPr>
    </w:p>
    <w:p>
      <w:pPr>
        <w:jc w:val="center"/>
        <w:rPr>
          <w:rFonts w:ascii="宋体"/>
          <w:sz w:val="24"/>
          <w:szCs w:val="24"/>
          <w:lang w:val="zh-CN"/>
        </w:rPr>
      </w:pPr>
    </w:p>
    <w:p>
      <w:pPr>
        <w:jc w:val="center"/>
        <w:rPr>
          <w:rFonts w:ascii="宋体"/>
          <w:sz w:val="24"/>
          <w:szCs w:val="24"/>
          <w:lang w:val="zh-CN"/>
        </w:rPr>
      </w:pPr>
      <w:r>
        <w:rPr>
          <w:rFonts w:hint="eastAsia" w:ascii="方正小标宋简体" w:hAnsi="方正小标宋简体" w:eastAsia="方正小标宋简体" w:cs="方正小标宋简体"/>
          <w:b w:val="0"/>
          <w:bCs/>
          <w:sz w:val="32"/>
          <w:szCs w:val="32"/>
          <w:lang w:val="zh-CN"/>
        </w:rPr>
        <w:t>第一部分部门概况</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一、部门职责</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甘肃省农垦集团公司平凉离退休工作站为省农垦事业办公室所属公益二类直属事业单位,</w:t>
      </w:r>
      <w:r>
        <w:rPr>
          <w:rFonts w:hint="eastAsia" w:ascii="仿宋_GB2312" w:hAnsi="仿宋_GB2312" w:eastAsia="仿宋_GB2312" w:cs="仿宋_GB2312"/>
          <w:b w:val="0"/>
          <w:bCs/>
          <w:sz w:val="32"/>
          <w:szCs w:val="32"/>
          <w:lang w:val="en-US" w:eastAsia="zh-CN"/>
        </w:rPr>
        <w:t>位于甘肃省平凉是泾川县中山街4号，负责人：李宏毅，开办资金40万元，</w:t>
      </w:r>
      <w:r>
        <w:rPr>
          <w:rFonts w:hint="eastAsia" w:ascii="仿宋_GB2312" w:hAnsi="仿宋_GB2312" w:eastAsia="仿宋_GB2312" w:cs="仿宋_GB2312"/>
          <w:b w:val="0"/>
          <w:bCs/>
          <w:sz w:val="32"/>
          <w:szCs w:val="32"/>
          <w:lang w:val="zh-CN"/>
        </w:rPr>
        <w:t>主要负责离退休人员管理等社会事业的管理与服务工作。</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二、机构设置</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甘肃省农垦集团公司平凉离退休工作站为甘肃省农垦事业办公室所属公益二类直属事业单位。甘肃省农垦集团公司平凉离退休工作站实行“一个实体、一套人马、两块牌子”的管理体制，和农垦平凉农业总场合署办公，内设机构由农垦平凉农业总场统一管理，内设综合办公室1个部室。</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第二部分2022年度部门决算表</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收入支出决算总表</w:t>
      </w:r>
    </w:p>
    <w:tbl>
      <w:tblPr>
        <w:tblStyle w:val="5"/>
        <w:tblpPr w:leftFromText="180" w:rightFromText="180" w:vertAnchor="text" w:horzAnchor="page" w:tblpXSpec="center" w:tblpY="252"/>
        <w:tblOverlap w:val="never"/>
        <w:tblW w:w="8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4"/>
        <w:gridCol w:w="575"/>
        <w:gridCol w:w="925"/>
        <w:gridCol w:w="2839"/>
        <w:gridCol w:w="575"/>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423" w:type="dxa"/>
            <w:gridSpan w:val="4"/>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收入支出决算总表</w:t>
            </w:r>
          </w:p>
        </w:tc>
        <w:tc>
          <w:tcPr>
            <w:tcW w:w="155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4584"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收入</w:t>
            </w:r>
          </w:p>
        </w:tc>
        <w:tc>
          <w:tcPr>
            <w:tcW w:w="4392"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92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行次</w:t>
            </w:r>
          </w:p>
        </w:tc>
        <w:tc>
          <w:tcPr>
            <w:tcW w:w="97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575"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92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栏次</w:t>
            </w:r>
          </w:p>
        </w:tc>
        <w:tc>
          <w:tcPr>
            <w:tcW w:w="575"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97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一、一般公共预算财政拨款收入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103.37</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一、一般公共服务支出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二、政府性基金预算财政拨款收入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二、外交支出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三、国有资本经营预算财政拨款收入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三、国防支出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四、上级补助收入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四、公共安全支出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五、事业收入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五、教育支出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六、经营收入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六、科学技术支出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七、附属单位上缴收入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七、文化旅游体育与传媒支出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八、其他收入</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八、社会保障和就业支出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九、卫生健康支出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十、节能环保支出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十一、城乡社区支出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十二、农林水支出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十三、交通运输支出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十四、资源勘探工业信息等支出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十五、商业服务业等支出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十六、金融支出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十七、援助其他地区支出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十八、自然资源海洋气象等支出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十九、住房保障支出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二十、粮油物资储备支出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二十一、国有资本经营预算支出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二十二、灾害防治及应急管理支出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二十三、其他支出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b/>
                <w:bCs/>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二十四、债务还本支出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二十五、债务付息支出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二十六、抗疫特别国债安排的支出</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本年收入合计</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103.37</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本年支出合计</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使用非财政拨款结余</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结余分配</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年初结转和结余</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年末结转和结余</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25" w:type="dxa"/>
            <w:tcBorders>
              <w:top w:val="nil"/>
              <w:left w:val="nil"/>
              <w:bottom w:val="single" w:color="D4D4D4" w:sz="4" w:space="0"/>
              <w:right w:val="single" w:color="D4D4D4" w:sz="4" w:space="0"/>
            </w:tcBorders>
            <w:shd w:val="clear" w:color="auto" w:fill="FFFFFF"/>
            <w:noWrap/>
            <w:vAlign w:val="center"/>
          </w:tcPr>
          <w:p>
            <w:pPr>
              <w:jc w:val="right"/>
              <w:rPr>
                <w:rFonts w:hint="eastAsia" w:ascii="仿宋" w:hAnsi="仿宋" w:eastAsia="仿宋" w:cs="仿宋"/>
                <w:i w:val="0"/>
                <w:iCs w:val="0"/>
                <w:color w:val="000000"/>
                <w:sz w:val="22"/>
                <w:szCs w:val="22"/>
                <w:u w:val="none"/>
              </w:rPr>
            </w:pPr>
          </w:p>
        </w:tc>
        <w:tc>
          <w:tcPr>
            <w:tcW w:w="2839" w:type="dxa"/>
            <w:tcBorders>
              <w:top w:val="nil"/>
              <w:left w:val="nil"/>
              <w:bottom w:val="single" w:color="D4D4D4" w:sz="4" w:space="0"/>
              <w:right w:val="single" w:color="D4D4D4" w:sz="4" w:space="0"/>
            </w:tcBorders>
            <w:shd w:val="clear" w:color="auto" w:fill="F1F1F1"/>
            <w:noWrap/>
            <w:vAlign w:val="center"/>
          </w:tcPr>
          <w:p>
            <w:pPr>
              <w:jc w:val="left"/>
              <w:rPr>
                <w:rFonts w:hint="eastAsia" w:ascii="仿宋" w:hAnsi="仿宋" w:eastAsia="仿宋" w:cs="仿宋"/>
                <w:i w:val="0"/>
                <w:iCs w:val="0"/>
                <w:color w:val="000000"/>
                <w:sz w:val="22"/>
                <w:szCs w:val="22"/>
                <w:u w:val="none"/>
              </w:rPr>
            </w:pP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978" w:type="dxa"/>
            <w:tcBorders>
              <w:top w:val="nil"/>
              <w:left w:val="nil"/>
              <w:bottom w:val="single" w:color="D4D4D4" w:sz="4" w:space="0"/>
              <w:right w:val="single" w:color="D4D4D4" w:sz="4" w:space="0"/>
            </w:tcBorders>
            <w:shd w:val="clear" w:color="auto" w:fill="FFFFFF"/>
            <w:noWrap/>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308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103.37</w:t>
            </w:r>
          </w:p>
        </w:tc>
        <w:tc>
          <w:tcPr>
            <w:tcW w:w="283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575"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97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103.37</w:t>
            </w:r>
          </w:p>
        </w:tc>
      </w:tr>
    </w:tbl>
    <w:p>
      <w:pPr>
        <w:pStyle w:val="2"/>
        <w:numPr>
          <w:ilvl w:val="0"/>
          <w:numId w:val="0"/>
        </w:numPr>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收入决算表</w:t>
      </w:r>
    </w:p>
    <w:tbl>
      <w:tblPr>
        <w:tblStyle w:val="5"/>
        <w:tblpPr w:leftFromText="180" w:rightFromText="180" w:vertAnchor="text" w:horzAnchor="page" w:tblpXSpec="center" w:tblpY="728"/>
        <w:tblOverlap w:val="never"/>
        <w:tblW w:w="9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0"/>
        <w:gridCol w:w="1946"/>
        <w:gridCol w:w="797"/>
        <w:gridCol w:w="882"/>
        <w:gridCol w:w="925"/>
        <w:gridCol w:w="796"/>
        <w:gridCol w:w="947"/>
        <w:gridCol w:w="101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8395" w:type="dxa"/>
            <w:gridSpan w:val="8"/>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705" w:type="dxa"/>
            <w:tcBorders>
              <w:top w:val="nil"/>
              <w:left w:val="nil"/>
              <w:bottom w:val="nil"/>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3036"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882"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9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4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2"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70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46"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9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946"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7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jc w:val="center"/>
        </w:trPr>
        <w:tc>
          <w:tcPr>
            <w:tcW w:w="3036"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2"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2"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3036"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jc w:val="center"/>
        </w:trPr>
        <w:tc>
          <w:tcPr>
            <w:tcW w:w="109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2130105</w:t>
            </w:r>
          </w:p>
        </w:tc>
        <w:tc>
          <w:tcPr>
            <w:tcW w:w="194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农垦运行</w:t>
            </w:r>
          </w:p>
        </w:tc>
        <w:tc>
          <w:tcPr>
            <w:tcW w:w="7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8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jc w:val="center"/>
        </w:trPr>
        <w:tc>
          <w:tcPr>
            <w:tcW w:w="9100"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支出决算表</w:t>
      </w:r>
    </w:p>
    <w:tbl>
      <w:tblPr>
        <w:tblStyle w:val="5"/>
        <w:tblW w:w="9079"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5"/>
        <w:gridCol w:w="2164"/>
        <w:gridCol w:w="925"/>
        <w:gridCol w:w="940"/>
        <w:gridCol w:w="795"/>
        <w:gridCol w:w="1084"/>
        <w:gridCol w:w="839"/>
        <w:gridCol w:w="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724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c>
          <w:tcPr>
            <w:tcW w:w="1836"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99"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94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9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8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39"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9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64"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92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3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99"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2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4"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39"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499"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2130105</w:t>
            </w:r>
          </w:p>
        </w:tc>
        <w:tc>
          <w:tcPr>
            <w:tcW w:w="216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农垦运行</w:t>
            </w:r>
          </w:p>
        </w:tc>
        <w:tc>
          <w:tcPr>
            <w:tcW w:w="92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40"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79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79"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lang w:val="zh-CN"/>
        </w:rPr>
      </w:pPr>
      <w:r>
        <w:rPr>
          <w:rFonts w:hint="eastAsia" w:ascii="黑体" w:hAnsi="黑体" w:eastAsia="黑体" w:cs="黑体"/>
          <w:sz w:val="32"/>
          <w:szCs w:val="32"/>
          <w:lang w:val="zh-CN"/>
        </w:rPr>
        <w:t>财政拨款收入支出决算总表</w:t>
      </w:r>
    </w:p>
    <w:tbl>
      <w:tblPr>
        <w:tblStyle w:val="5"/>
        <w:tblW w:w="9099"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5"/>
        <w:gridCol w:w="429"/>
        <w:gridCol w:w="802"/>
        <w:gridCol w:w="2066"/>
        <w:gridCol w:w="429"/>
        <w:gridCol w:w="802"/>
        <w:gridCol w:w="802"/>
        <w:gridCol w:w="831"/>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337" w:type="dxa"/>
            <w:gridSpan w:val="7"/>
            <w:tcBorders>
              <w:top w:val="nil"/>
              <w:left w:val="nil"/>
              <w:bottom w:val="nil"/>
              <w:right w:val="nil"/>
            </w:tcBorders>
            <w:shd w:val="clear" w:color="auto" w:fill="auto"/>
            <w:noWrap/>
            <w:vAlign w:val="center"/>
          </w:tcPr>
          <w:p>
            <w:pPr>
              <w:pStyle w:val="2"/>
              <w:numPr>
                <w:ilvl w:val="0"/>
                <w:numId w:val="0"/>
              </w:numPr>
              <w:ind w:leftChars="0"/>
              <w:jc w:val="center"/>
              <w:rPr>
                <w:rFonts w:hint="eastAsia"/>
                <w:lang w:val="zh-CN"/>
              </w:rPr>
            </w:pPr>
            <w:r>
              <w:rPr>
                <w:rFonts w:hint="eastAsia"/>
                <w:lang w:val="zh-CN" w:eastAsia="zh-CN"/>
              </w:rPr>
              <w:t>财政拨款收入支出决算总表</w:t>
            </w:r>
          </w:p>
        </w:tc>
        <w:tc>
          <w:tcPr>
            <w:tcW w:w="1722" w:type="dxa"/>
            <w:gridSpan w:val="2"/>
            <w:tcBorders>
              <w:top w:val="nil"/>
              <w:left w:val="nil"/>
              <w:bottom w:val="nil"/>
              <w:right w:val="nil"/>
            </w:tcBorders>
            <w:shd w:val="clear" w:color="auto" w:fill="auto"/>
            <w:noWrap/>
            <w:vAlign w:val="bottom"/>
          </w:tcPr>
          <w:p>
            <w:pPr>
              <w:pStyle w:val="2"/>
              <w:numPr>
                <w:ilvl w:val="0"/>
                <w:numId w:val="0"/>
              </w:numPr>
              <w:ind w:leftChars="0"/>
              <w:rPr>
                <w:rFonts w:hint="eastAsia"/>
                <w:lang w:val="zh-CN"/>
              </w:rPr>
            </w:pPr>
            <w:r>
              <w:rPr>
                <w:rFonts w:hint="eastAsia"/>
                <w:lang w:val="zh-CN"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3280" w:type="dxa"/>
            <w:gridSpan w:val="3"/>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收     入</w:t>
            </w:r>
          </w:p>
        </w:tc>
        <w:tc>
          <w:tcPr>
            <w:tcW w:w="5779" w:type="dxa"/>
            <w:gridSpan w:val="6"/>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项目</w:t>
            </w:r>
          </w:p>
        </w:tc>
        <w:tc>
          <w:tcPr>
            <w:tcW w:w="420"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行次</w:t>
            </w:r>
          </w:p>
        </w:tc>
        <w:tc>
          <w:tcPr>
            <w:tcW w:w="785"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金额</w:t>
            </w:r>
          </w:p>
        </w:tc>
        <w:tc>
          <w:tcPr>
            <w:tcW w:w="2066"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项目</w:t>
            </w:r>
          </w:p>
        </w:tc>
        <w:tc>
          <w:tcPr>
            <w:tcW w:w="420"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行次</w:t>
            </w:r>
          </w:p>
        </w:tc>
        <w:tc>
          <w:tcPr>
            <w:tcW w:w="785" w:type="dxa"/>
            <w:vMerge w:val="restart"/>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合计</w:t>
            </w:r>
          </w:p>
        </w:tc>
        <w:tc>
          <w:tcPr>
            <w:tcW w:w="786"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一般公共预算财政拨款</w:t>
            </w:r>
          </w:p>
        </w:tc>
        <w:tc>
          <w:tcPr>
            <w:tcW w:w="831"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政府性基金预算财政拨款</w:t>
            </w:r>
          </w:p>
        </w:tc>
        <w:tc>
          <w:tcPr>
            <w:tcW w:w="891" w:type="dxa"/>
            <w:vMerge w:val="restart"/>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r>
              <w:rPr>
                <w:rFonts w:hint="eastAsia"/>
                <w:lang w:val="zh-CN"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2075"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420"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785"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2066"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420"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785" w:type="dxa"/>
            <w:vMerge w:val="continue"/>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786"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831"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c>
          <w:tcPr>
            <w:tcW w:w="891" w:type="dxa"/>
            <w:vMerge w:val="continue"/>
            <w:tcBorders>
              <w:top w:val="nil"/>
              <w:left w:val="nil"/>
              <w:bottom w:val="single" w:color="D4D4D4" w:sz="4" w:space="0"/>
              <w:right w:val="single" w:color="D4D4D4" w:sz="4" w:space="0"/>
            </w:tcBorders>
            <w:shd w:val="clear" w:color="auto" w:fill="F1F1F1"/>
            <w:vAlign w:val="center"/>
          </w:tcPr>
          <w:p>
            <w:pPr>
              <w:pStyle w:val="2"/>
              <w:numPr>
                <w:ilvl w:val="0"/>
                <w:numId w:val="0"/>
              </w:numPr>
              <w:ind w:leftChars="0"/>
              <w:rPr>
                <w:rFonts w:hint="eastAsia"/>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栏次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78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栏次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78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w:t>
            </w:r>
          </w:p>
        </w:tc>
        <w:tc>
          <w:tcPr>
            <w:tcW w:w="78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w:t>
            </w:r>
          </w:p>
        </w:tc>
        <w:tc>
          <w:tcPr>
            <w:tcW w:w="831"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w:t>
            </w:r>
          </w:p>
        </w:tc>
        <w:tc>
          <w:tcPr>
            <w:tcW w:w="891"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一、一般公共预算财政拨款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一、一般公共服务支出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二、政府性基金预算财政拨款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二、外交支出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三、国有资本经营预算财政拨款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三、国防支出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四、公共安全支出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五、教育支出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六、科学技术支出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七、文化旅游体育与传媒支出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八、社会保障和就业支出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98.84</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98.84</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九、卫生健康支出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3.78</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3.78</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十、节能环保支出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十一、城乡社区支出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十二、农林水支出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0.75</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0.75</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十三、交通运输支出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十四、资源勘探工业信息等支出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十五、商业服务业等支出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十六、金融支出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十七、援助其他地区支出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49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十八、自然资源海洋气象等支出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19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十九、住房保障支出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二十、粮油物资储备支出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二十一、国有资本经营预算支出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二十二、灾害防治及应急管理支出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二十三、其他支出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二十四、债务还本支出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25</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二十五、债务付息支出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26</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二十六、抗疫特别国债安排的支出</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本年收入合计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27</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本年支出合计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59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年初财政拨款结转和结余</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28</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年末财政拨款结转和结余</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 xml:space="preserve">  一般公共预算财政拨款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29</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 xml:space="preserve">  政府性基金预算财政拨款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30</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 xml:space="preserve">  国有资本经营预算财政拨款</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31</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63</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75"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总计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32</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2066"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总计</w:t>
            </w:r>
          </w:p>
        </w:tc>
        <w:tc>
          <w:tcPr>
            <w:tcW w:w="420" w:type="dxa"/>
            <w:tcBorders>
              <w:top w:val="nil"/>
              <w:left w:val="nil"/>
              <w:bottom w:val="single" w:color="D4D4D4" w:sz="4" w:space="0"/>
              <w:right w:val="single" w:color="D4D4D4" w:sz="4" w:space="0"/>
            </w:tcBorders>
            <w:shd w:val="clear" w:color="auto" w:fill="F1F1F1"/>
            <w:noWrap/>
            <w:vAlign w:val="center"/>
          </w:tcPr>
          <w:p>
            <w:pPr>
              <w:pStyle w:val="2"/>
              <w:numPr>
                <w:ilvl w:val="0"/>
                <w:numId w:val="0"/>
              </w:numPr>
              <w:ind w:leftChars="0"/>
              <w:rPr>
                <w:rFonts w:hint="eastAsia"/>
                <w:lang w:val="zh-CN"/>
              </w:rPr>
            </w:pPr>
            <w:r>
              <w:rPr>
                <w:rFonts w:hint="eastAsia"/>
                <w:lang w:val="zh-CN" w:eastAsia="zh-CN"/>
              </w:rPr>
              <w:t>64</w:t>
            </w:r>
          </w:p>
        </w:tc>
        <w:tc>
          <w:tcPr>
            <w:tcW w:w="785"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786"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103.37</w:t>
            </w:r>
          </w:p>
        </w:tc>
        <w:tc>
          <w:tcPr>
            <w:tcW w:w="83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c>
          <w:tcPr>
            <w:tcW w:w="891" w:type="dxa"/>
            <w:tcBorders>
              <w:top w:val="nil"/>
              <w:left w:val="nil"/>
              <w:bottom w:val="single" w:color="D4D4D4" w:sz="4" w:space="0"/>
              <w:right w:val="single" w:color="D4D4D4" w:sz="4" w:space="0"/>
            </w:tcBorders>
            <w:shd w:val="clear" w:color="auto" w:fill="FFFFFF"/>
            <w:noWrap/>
            <w:vAlign w:val="center"/>
          </w:tcPr>
          <w:p>
            <w:pPr>
              <w:pStyle w:val="2"/>
              <w:numPr>
                <w:ilvl w:val="0"/>
                <w:numId w:val="0"/>
              </w:numPr>
              <w:ind w:leftChars="0"/>
              <w:rPr>
                <w:rFonts w:hint="eastAsia"/>
                <w:lang w:val="zh-CN"/>
              </w:rPr>
            </w:pPr>
            <w:r>
              <w:rPr>
                <w:rFonts w:hint="eastAsia"/>
                <w:lang w:val="zh-CN"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68" w:type="dxa"/>
            <w:gridSpan w:val="8"/>
            <w:tcBorders>
              <w:top w:val="nil"/>
              <w:left w:val="nil"/>
              <w:bottom w:val="nil"/>
              <w:right w:val="nil"/>
            </w:tcBorders>
            <w:shd w:val="clear" w:color="auto" w:fill="FFFFFF"/>
            <w:noWrap/>
            <w:vAlign w:val="center"/>
          </w:tcPr>
          <w:p>
            <w:pPr>
              <w:pStyle w:val="2"/>
              <w:numPr>
                <w:ilvl w:val="0"/>
                <w:numId w:val="0"/>
              </w:numPr>
              <w:ind w:leftChars="0"/>
              <w:rPr>
                <w:rFonts w:hint="eastAsia"/>
                <w:lang w:val="zh-CN"/>
              </w:rPr>
            </w:pPr>
            <w:r>
              <w:rPr>
                <w:rFonts w:hint="eastAsia"/>
                <w:lang w:val="zh-CN" w:eastAsia="zh-CN"/>
              </w:rPr>
              <w:t>注：本表反映部门本年度一般公共预算财政拨款、政府性基金预算财政拨款和国有资本经营预算财政拨款的总收支和年末结转结余情况。</w:t>
            </w:r>
          </w:p>
        </w:tc>
        <w:tc>
          <w:tcPr>
            <w:tcW w:w="891" w:type="dxa"/>
            <w:tcBorders>
              <w:top w:val="nil"/>
              <w:left w:val="nil"/>
              <w:bottom w:val="nil"/>
              <w:right w:val="nil"/>
            </w:tcBorders>
            <w:shd w:val="clear" w:color="auto" w:fill="FFFFFF"/>
            <w:noWrap/>
            <w:vAlign w:val="center"/>
          </w:tcPr>
          <w:p>
            <w:pPr>
              <w:pStyle w:val="2"/>
              <w:numPr>
                <w:ilvl w:val="0"/>
                <w:numId w:val="0"/>
              </w:numPr>
              <w:ind w:leftChars="0"/>
              <w:rPr>
                <w:rFonts w:hint="eastAsia"/>
                <w:lang w:val="zh-CN"/>
              </w:rPr>
            </w:pP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一般公共预算财政拨款支出决算表</w:t>
      </w:r>
    </w:p>
    <w:tbl>
      <w:tblPr>
        <w:tblStyle w:val="5"/>
        <w:tblW w:w="9099" w:type="dxa"/>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2"/>
        <w:gridCol w:w="3273"/>
        <w:gridCol w:w="1382"/>
        <w:gridCol w:w="148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7626"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c>
          <w:tcPr>
            <w:tcW w:w="147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55"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44"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73"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82"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89"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73"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273"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273"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8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8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73"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55"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8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3"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55"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103.37</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事业单位离退休</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98.84</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2130105</w:t>
            </w:r>
          </w:p>
        </w:tc>
        <w:tc>
          <w:tcPr>
            <w:tcW w:w="32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农垦运行</w:t>
            </w:r>
          </w:p>
        </w:tc>
        <w:tc>
          <w:tcPr>
            <w:tcW w:w="138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89"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473"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9" w:type="dxa"/>
            <w:gridSpan w:val="5"/>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一般公共预算财政拨款基本支出决算明细表</w:t>
      </w:r>
    </w:p>
    <w:tbl>
      <w:tblPr>
        <w:tblStyle w:val="5"/>
        <w:tblW w:w="9114"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246"/>
        <w:gridCol w:w="896"/>
        <w:gridCol w:w="729"/>
        <w:gridCol w:w="1610"/>
        <w:gridCol w:w="714"/>
        <w:gridCol w:w="714"/>
        <w:gridCol w:w="1716"/>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36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一般公共预算财政拨款基本支出决算明细</w:t>
            </w:r>
            <w:r>
              <w:rPr>
                <w:rFonts w:hint="eastAsia" w:ascii="仿宋" w:hAnsi="仿宋" w:eastAsia="仿宋" w:cs="仿宋"/>
                <w:i w:val="0"/>
                <w:iCs w:val="0"/>
                <w:color w:val="000000"/>
                <w:kern w:val="0"/>
                <w:sz w:val="22"/>
                <w:szCs w:val="22"/>
                <w:u w:val="none"/>
                <w:lang w:val="en-US" w:eastAsia="zh-CN" w:bidi="ar"/>
              </w:rPr>
              <w:t>表</w:t>
            </w:r>
          </w:p>
        </w:tc>
        <w:tc>
          <w:tcPr>
            <w:tcW w:w="74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86" w:type="dxa"/>
            <w:gridSpan w:val="3"/>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人员经费</w:t>
            </w:r>
          </w:p>
        </w:tc>
        <w:tc>
          <w:tcPr>
            <w:tcW w:w="6228" w:type="dxa"/>
            <w:gridSpan w:val="6"/>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24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89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c>
          <w:tcPr>
            <w:tcW w:w="729"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610"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71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c>
          <w:tcPr>
            <w:tcW w:w="71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科目代码</w:t>
            </w:r>
          </w:p>
        </w:tc>
        <w:tc>
          <w:tcPr>
            <w:tcW w:w="171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科目名称</w:t>
            </w:r>
          </w:p>
        </w:tc>
        <w:tc>
          <w:tcPr>
            <w:tcW w:w="74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24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9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29"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610"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1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1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171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4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工资福利支出</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商品和服务支出</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0.75</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债务利息及费用支出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30101</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基本工资</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30201</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30701</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国内债务付息</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30102</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津贴补贴</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30202</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印刷费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30702</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国外债务付息</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30103</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奖金</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30203</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咨询费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资本性支出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30106</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伙食补助费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30204</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手续费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31001</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房屋建筑物购建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30107</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绩效工资</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30205</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31002</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办公设备购置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30108</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机关事业单位基本养老保险缴费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30206</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31003</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专用设备购置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30109</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职业年金缴费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30207</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邮电费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31005</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基础设施建设</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30110</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职工基本医疗保险缴费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30208</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取暖费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31006</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大型修缮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30111</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公务员医疗补助缴费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30209</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物业管理费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31007</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信息网络及软件购置更新</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30112</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其他社会保障缴费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30211</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差旅费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31008</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物资储备</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30113</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住房公积金</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30212</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因公出国（境）费用</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土地补偿</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30114</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医疗费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30213</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维修（护）费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31010</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安置补助</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30199</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其他工资福利支出</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30214</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租赁费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31011</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地上附着物和青苗补偿</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对个人和家庭的补助</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102.62</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30215</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31012</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拆迁补偿</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30301</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离休费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30216</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培训费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31013</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30302</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98.84</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30217</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公务接待费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其他交通工具购置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30303</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退职（役）费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30218</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专用材料费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31021</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文物和陈列品购置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30304</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抚恤金</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30224</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被装购置费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31022</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无形资产购置</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30305</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生活补助</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30225</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专用燃料费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31099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其他资本性支出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30306</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救济费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30226</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劳务费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30307</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医疗费补助</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30227</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委托业务费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39907</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国家赔偿费用支出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30308</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助学金</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30228</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工会经费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39908</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对民间非营利组织和群众性自治组织补贴</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30309</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奖励金</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30229</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福利费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39909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经常性赠与</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30310</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个人农业生产补贴</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30231</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公务用车运行维护费</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39910</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资本性赠与</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30311</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代缴社会保险费</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30239</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其他交通费用</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39999</w:t>
            </w:r>
          </w:p>
        </w:tc>
        <w:tc>
          <w:tcPr>
            <w:tcW w:w="171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其他支出</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30399</w:t>
            </w:r>
          </w:p>
        </w:tc>
        <w:tc>
          <w:tcPr>
            <w:tcW w:w="124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其他对个人和家庭的补助</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30240</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税金及附加费用</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0.00</w:t>
            </w:r>
          </w:p>
        </w:tc>
        <w:tc>
          <w:tcPr>
            <w:tcW w:w="714"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716"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45" w:type="dxa"/>
            <w:tcBorders>
              <w:top w:val="nil"/>
              <w:left w:val="nil"/>
              <w:bottom w:val="single" w:color="D4D4D4" w:sz="4" w:space="0"/>
              <w:right w:val="single" w:color="D4D4D4"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246"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896" w:type="dxa"/>
            <w:tcBorders>
              <w:top w:val="nil"/>
              <w:left w:val="nil"/>
              <w:bottom w:val="single" w:color="D4D4D4" w:sz="4" w:space="0"/>
              <w:right w:val="single" w:color="D4D4D4"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c>
          <w:tcPr>
            <w:tcW w:w="729"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30299</w:t>
            </w:r>
          </w:p>
        </w:tc>
        <w:tc>
          <w:tcPr>
            <w:tcW w:w="1610"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其他商品和服务支出</w:t>
            </w:r>
          </w:p>
        </w:tc>
        <w:tc>
          <w:tcPr>
            <w:tcW w:w="7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0.75</w:t>
            </w:r>
          </w:p>
        </w:tc>
        <w:tc>
          <w:tcPr>
            <w:tcW w:w="714" w:type="dxa"/>
            <w:tcBorders>
              <w:top w:val="nil"/>
              <w:left w:val="nil"/>
              <w:bottom w:val="single" w:color="D4D4D4" w:sz="4" w:space="0"/>
              <w:right w:val="single" w:color="D4D4D4" w:sz="4" w:space="0"/>
            </w:tcBorders>
            <w:shd w:val="clear" w:color="auto" w:fill="F1F1F1"/>
            <w:noWrap/>
            <w:vAlign w:val="center"/>
          </w:tcPr>
          <w:p>
            <w:pPr>
              <w:jc w:val="center"/>
              <w:rPr>
                <w:rFonts w:hint="eastAsia" w:ascii="仿宋" w:hAnsi="仿宋" w:eastAsia="仿宋" w:cs="仿宋"/>
                <w:i w:val="0"/>
                <w:iCs w:val="0"/>
                <w:color w:val="000000"/>
                <w:sz w:val="22"/>
                <w:szCs w:val="22"/>
                <w:u w:val="none"/>
              </w:rPr>
            </w:pPr>
          </w:p>
        </w:tc>
        <w:tc>
          <w:tcPr>
            <w:tcW w:w="1716" w:type="dxa"/>
            <w:tcBorders>
              <w:top w:val="nil"/>
              <w:left w:val="nil"/>
              <w:bottom w:val="single" w:color="D4D4D4" w:sz="4" w:space="0"/>
              <w:right w:val="single" w:color="D4D4D4" w:sz="4" w:space="0"/>
            </w:tcBorders>
            <w:shd w:val="clear" w:color="auto" w:fill="F1F1F1"/>
            <w:vAlign w:val="center"/>
          </w:tcPr>
          <w:p>
            <w:pPr>
              <w:jc w:val="center"/>
              <w:rPr>
                <w:rFonts w:hint="eastAsia" w:ascii="仿宋" w:hAnsi="仿宋" w:eastAsia="仿宋" w:cs="仿宋"/>
                <w:i w:val="0"/>
                <w:iCs w:val="0"/>
                <w:color w:val="000000"/>
                <w:sz w:val="22"/>
                <w:szCs w:val="22"/>
                <w:u w:val="none"/>
              </w:rPr>
            </w:pPr>
          </w:p>
        </w:tc>
        <w:tc>
          <w:tcPr>
            <w:tcW w:w="745" w:type="dxa"/>
            <w:tcBorders>
              <w:top w:val="nil"/>
              <w:left w:val="nil"/>
              <w:bottom w:val="single" w:color="D4D4D4" w:sz="4" w:space="0"/>
              <w:right w:val="single" w:color="D4D4D4" w:sz="4" w:space="0"/>
            </w:tcBorders>
            <w:shd w:val="clear" w:color="auto" w:fill="FFFFFF"/>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90"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人员经费合计</w:t>
            </w:r>
          </w:p>
        </w:tc>
        <w:tc>
          <w:tcPr>
            <w:tcW w:w="89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102.62</w:t>
            </w:r>
          </w:p>
        </w:tc>
        <w:tc>
          <w:tcPr>
            <w:tcW w:w="5483" w:type="dxa"/>
            <w:gridSpan w:val="5"/>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公用经费合计</w:t>
            </w:r>
          </w:p>
        </w:tc>
        <w:tc>
          <w:tcPr>
            <w:tcW w:w="74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1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注：本表反映部门本年度一般公共预算财政拨款基本支出明细情况。</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政府性基金预算财政拨款收入支出决算表</w:t>
      </w:r>
    </w:p>
    <w:tbl>
      <w:tblPr>
        <w:tblStyle w:val="5"/>
        <w:tblW w:w="9114" w:type="dxa"/>
        <w:tblInd w:w="-1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1125"/>
        <w:gridCol w:w="1231"/>
        <w:gridCol w:w="1108"/>
        <w:gridCol w:w="1124"/>
        <w:gridCol w:w="1261"/>
        <w:gridCol w:w="1261"/>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18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政府性基金预算财政拨款收入支出决算表</w:t>
            </w:r>
          </w:p>
        </w:tc>
        <w:tc>
          <w:tcPr>
            <w:tcW w:w="92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02"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31"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08"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646"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92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5"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1"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2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2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02"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8"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1"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7"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2"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1"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08"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2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1"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261"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2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 w:type="dxa"/>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125" w:type="dxa"/>
            <w:tcBorders>
              <w:top w:val="nil"/>
              <w:left w:val="nil"/>
              <w:bottom w:val="single" w:color="D4D4D4" w:sz="4" w:space="0"/>
              <w:right w:val="single" w:color="D4D4D4"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231"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24"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61"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61"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27" w:type="dxa"/>
            <w:tcBorders>
              <w:top w:val="nil"/>
              <w:left w:val="nil"/>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14"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国有资本经营预算财政拨款支出决算表</w:t>
      </w:r>
    </w:p>
    <w:tbl>
      <w:tblPr>
        <w:tblStyle w:val="5"/>
        <w:tblW w:w="9083"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
        <w:gridCol w:w="1361"/>
        <w:gridCol w:w="1742"/>
        <w:gridCol w:w="2212"/>
        <w:gridCol w:w="2214"/>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7661" w:type="dxa"/>
            <w:gridSpan w:val="5"/>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30"/>
                <w:szCs w:val="30"/>
                <w:u w:val="none"/>
                <w:lang w:val="en-US" w:eastAsia="zh-CN" w:bidi="ar"/>
              </w:rPr>
              <w:t>国有资本经营预算财政拨款支出决算表</w:t>
            </w:r>
          </w:p>
        </w:tc>
        <w:tc>
          <w:tcPr>
            <w:tcW w:w="142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3103"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92"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1361"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05" w:type="dxa"/>
            <w:vMerge w:val="restart"/>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84"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8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22"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13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05"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18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2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1361"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705" w:type="dxa"/>
            <w:vMerge w:val="continue"/>
            <w:tcBorders>
              <w:top w:val="nil"/>
              <w:left w:val="nil"/>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184"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422"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3103"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1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4"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22" w:type="dxa"/>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69" w:type="dxa"/>
          <w:trHeight w:val="300" w:hRule="atLeast"/>
        </w:trPr>
        <w:tc>
          <w:tcPr>
            <w:tcW w:w="3103" w:type="dxa"/>
            <w:gridSpan w:val="2"/>
            <w:tcBorders>
              <w:top w:val="nil"/>
              <w:left w:val="nil"/>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1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214"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22"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bl>
    <w:p>
      <w:pPr>
        <w:pStyle w:val="2"/>
        <w:numPr>
          <w:ilvl w:val="0"/>
          <w:numId w:val="0"/>
        </w:numPr>
        <w:ind w:leftChars="0"/>
        <w:rPr>
          <w:rFonts w:hint="eastAsia"/>
          <w:lang w:val="zh-CN"/>
        </w:rPr>
      </w:pPr>
    </w:p>
    <w:p>
      <w:pPr>
        <w:keepNext w:val="0"/>
        <w:keepLines w:val="0"/>
        <w:pageBreakBefore w:val="0"/>
        <w:widowControl/>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财政拨款“三公”经费支出决算表</w:t>
      </w:r>
    </w:p>
    <w:tbl>
      <w:tblPr>
        <w:tblStyle w:val="5"/>
        <w:tblW w:w="90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876"/>
        <w:gridCol w:w="726"/>
        <w:gridCol w:w="726"/>
        <w:gridCol w:w="726"/>
        <w:gridCol w:w="726"/>
        <w:gridCol w:w="677"/>
        <w:gridCol w:w="775"/>
        <w:gridCol w:w="876"/>
        <w:gridCol w:w="726"/>
        <w:gridCol w:w="756"/>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6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财政拨款“三公”经费支出决算表</w:t>
            </w:r>
          </w:p>
        </w:tc>
        <w:tc>
          <w:tcPr>
            <w:tcW w:w="1512" w:type="dxa"/>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06"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4566" w:type="dxa"/>
            <w:gridSpan w:val="6"/>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7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178"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2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77"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5"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358" w:type="dxa"/>
            <w:gridSpan w:val="3"/>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56" w:type="dxa"/>
            <w:vMerge w:val="restart"/>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2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77"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5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56" w:type="dxa"/>
            <w:vMerge w:val="continue"/>
            <w:tcBorders>
              <w:top w:val="nil"/>
              <w:left w:val="nil"/>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7"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5"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56" w:type="dxa"/>
            <w:tcBorders>
              <w:top w:val="nil"/>
              <w:left w:val="nil"/>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7"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5"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2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6" w:type="dxa"/>
            <w:tcBorders>
              <w:top w:val="nil"/>
              <w:left w:val="nil"/>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72"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pStyle w:val="2"/>
        <w:numPr>
          <w:ilvl w:val="0"/>
          <w:numId w:val="0"/>
        </w:numPr>
        <w:ind w:leftChars="0"/>
        <w:rPr>
          <w:rFonts w:hint="eastAsia"/>
          <w:lang w:val="zh-CN"/>
        </w:rPr>
      </w:pP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第三部分2022年度部门决算情况说明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2022年度收、支总计均为103.37万元。与上年度相比,收、支总计各减少23.31万元,下降18.4%,主要原因是：</w:t>
      </w:r>
      <w:r>
        <w:rPr>
          <w:rFonts w:hint="eastAsia" w:ascii="仿宋_GB2312" w:hAnsi="仿宋_GB2312" w:eastAsia="仿宋_GB2312" w:cs="仿宋_GB2312"/>
          <w:sz w:val="32"/>
          <w:szCs w:val="32"/>
          <w:lang w:val="en-US" w:eastAsia="zh-CN"/>
        </w:rPr>
        <w:t>由于本单位人员减少，因此相应的经费随之减少。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二、收入决算情况说明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2022年度收入合计103.37万元,其中：财政拨款收入103.37万元,占100.00%；</w:t>
      </w:r>
      <w:r>
        <w:rPr>
          <w:rFonts w:hint="eastAsia" w:ascii="仿宋_GB2312" w:hAnsi="仿宋_GB2312" w:eastAsia="仿宋_GB2312" w:cs="仿宋_GB2312"/>
          <w:sz w:val="32"/>
          <w:szCs w:val="32"/>
          <w:lang w:val="en-US" w:eastAsia="zh-CN"/>
        </w:rPr>
        <w:t>上级补助</w:t>
      </w:r>
      <w:r>
        <w:rPr>
          <w:rFonts w:hint="eastAsia" w:ascii="仿宋_GB2312" w:hAnsi="仿宋_GB2312" w:eastAsia="仿宋_GB2312" w:cs="仿宋_GB2312"/>
          <w:sz w:val="32"/>
          <w:szCs w:val="32"/>
          <w:lang w:val="zh-CN" w:eastAsia="zh-CN"/>
        </w:rPr>
        <w:t>收入0.00万元,占0.00%；</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lang w:val="zh-CN" w:eastAsia="zh-CN"/>
        </w:rPr>
        <w:t>收入0.00万元,占0.00%；</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val="zh-CN" w:eastAsia="zh-CN"/>
        </w:rPr>
        <w:t>收入0.00万元,占0.00%；</w:t>
      </w:r>
      <w:r>
        <w:rPr>
          <w:rFonts w:hint="eastAsia" w:ascii="仿宋_GB2312" w:hAnsi="仿宋_GB2312" w:eastAsia="仿宋_GB2312" w:cs="仿宋_GB2312"/>
          <w:sz w:val="32"/>
          <w:szCs w:val="32"/>
          <w:lang w:val="en-US" w:eastAsia="zh-CN"/>
        </w:rPr>
        <w:t>附属单位上缴</w:t>
      </w:r>
      <w:r>
        <w:rPr>
          <w:rFonts w:hint="eastAsia" w:ascii="仿宋_GB2312" w:hAnsi="仿宋_GB2312" w:eastAsia="仿宋_GB2312" w:cs="仿宋_GB2312"/>
          <w:sz w:val="32"/>
          <w:szCs w:val="32"/>
          <w:lang w:val="zh-CN" w:eastAsia="zh-CN"/>
        </w:rPr>
        <w:t>收入0.00万元,占0.00%；</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lang w:val="zh-CN" w:eastAsia="zh-CN"/>
        </w:rPr>
        <w:t>收入0.00万元,占0.00%；</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三、支出决算情况说明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2022年度支出合计103.37万元,其中：基本支出103.37万元,占100.00%；项目支出0.00万元,占0.00%；上缴上级支出0.00万元,占0.00%；经营支出0.00万元,占0.00%；对附属单位补助支出0.00万元,占0.00%。</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四、财政拨款收入支出决算总体情况说明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2022年度财政拨款收、支总计均为103.37万元。与上年相比,各减少23.31万元,下降18.4%。主要原因是：</w:t>
      </w:r>
      <w:r>
        <w:rPr>
          <w:rFonts w:hint="eastAsia" w:ascii="仿宋_GB2312" w:hAnsi="仿宋_GB2312" w:eastAsia="仿宋_GB2312" w:cs="仿宋_GB2312"/>
          <w:sz w:val="32"/>
          <w:szCs w:val="32"/>
          <w:lang w:val="en-US" w:eastAsia="zh-CN"/>
        </w:rPr>
        <w:t>由于本单位人员减少，因此相应的经费随之减少。</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五、一般公共预算财政拨款支出决算情况说明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2022年度一般公共预算财政拨款支出103.37万元,较上年决算数减少23.31万元,下降18.4%。主要原因是：</w:t>
      </w:r>
      <w:r>
        <w:rPr>
          <w:rFonts w:hint="eastAsia" w:ascii="仿宋_GB2312" w:hAnsi="仿宋_GB2312" w:eastAsia="仿宋_GB2312" w:cs="仿宋_GB2312"/>
          <w:sz w:val="32"/>
          <w:szCs w:val="32"/>
          <w:lang w:val="en-US" w:eastAsia="zh-CN"/>
        </w:rPr>
        <w:t>由于本单位人员减少，因此相应的经费随之减少。</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1．一般公共服务支出</w:t>
      </w:r>
      <w:r>
        <w:rPr>
          <w:rFonts w:hint="eastAsia" w:ascii="仿宋_GB2312" w:hAnsi="仿宋_GB2312" w:eastAsia="仿宋_GB2312" w:cs="仿宋_GB2312"/>
          <w:sz w:val="32"/>
          <w:szCs w:val="32"/>
          <w:lang w:val="zh-CN" w:eastAsia="zh-CN"/>
        </w:rPr>
        <w:t>年初预算数为0.00万元,支出决算为0.00万元。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eastAsia="zh-CN"/>
        </w:rPr>
        <w:t>．社会保障和就业支出</w:t>
      </w:r>
      <w:r>
        <w:rPr>
          <w:rFonts w:hint="eastAsia" w:ascii="仿宋_GB2312" w:hAnsi="仿宋_GB2312" w:eastAsia="仿宋_GB2312" w:cs="仿宋_GB2312"/>
          <w:sz w:val="32"/>
          <w:szCs w:val="32"/>
          <w:lang w:val="zh-CN" w:eastAsia="zh-CN"/>
        </w:rPr>
        <w:t>年初预算数为2.79万元,支出决算为98.84万元,完成年初预算的3542.49%,决算数大于预算数的主要原因是：</w:t>
      </w:r>
      <w:r>
        <w:rPr>
          <w:rFonts w:hint="eastAsia" w:ascii="仿宋_GB2312" w:hAnsi="仿宋_GB2312" w:eastAsia="仿宋_GB2312" w:cs="仿宋_GB2312"/>
          <w:sz w:val="32"/>
          <w:szCs w:val="32"/>
          <w:lang w:val="en-US" w:eastAsia="zh-CN"/>
        </w:rPr>
        <w:t>由于本单位性质特殊，退休人员未完全移交社保，退休人员工资未纳入年初预算，因此决算数大于预算数。</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eastAsia="zh-CN"/>
        </w:rPr>
        <w:t>．卫生健康支出</w:t>
      </w:r>
      <w:r>
        <w:rPr>
          <w:rFonts w:hint="eastAsia" w:ascii="仿宋_GB2312" w:hAnsi="仿宋_GB2312" w:eastAsia="仿宋_GB2312" w:cs="仿宋_GB2312"/>
          <w:sz w:val="32"/>
          <w:szCs w:val="32"/>
          <w:lang w:val="zh-CN" w:eastAsia="zh-CN"/>
        </w:rPr>
        <w:t>年初预算数为3.78万元,支出决算为3.78万元,完成年初预算的100.0%。</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2022年度一般公共预算财政拨款基本支出103.37万元。其中：</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人员经费</w:t>
      </w:r>
      <w:r>
        <w:rPr>
          <w:rFonts w:hint="eastAsia" w:ascii="仿宋_GB2312" w:hAnsi="仿宋_GB2312" w:eastAsia="仿宋_GB2312" w:cs="仿宋_GB2312"/>
          <w:sz w:val="32"/>
          <w:szCs w:val="32"/>
          <w:lang w:val="zh-CN" w:eastAsia="zh-CN"/>
        </w:rPr>
        <w:t>102.62万元,较上年决算数减少22.7万元,下降18.12%,主要原因是：</w:t>
      </w:r>
      <w:r>
        <w:rPr>
          <w:rFonts w:hint="eastAsia" w:ascii="仿宋_GB2312" w:hAnsi="仿宋_GB2312" w:eastAsia="仿宋_GB2312" w:cs="仿宋_GB2312"/>
          <w:sz w:val="32"/>
          <w:szCs w:val="32"/>
          <w:lang w:val="en-US" w:eastAsia="zh-CN"/>
        </w:rPr>
        <w:t>由于本单位人员减少，因此相应的经费随之减少。</w:t>
      </w:r>
      <w:r>
        <w:rPr>
          <w:rFonts w:hint="eastAsia" w:ascii="仿宋_GB2312" w:hAnsi="仿宋_GB2312" w:eastAsia="仿宋_GB2312" w:cs="仿宋_GB2312"/>
          <w:sz w:val="32"/>
          <w:szCs w:val="32"/>
          <w:lang w:val="zh-CN" w:eastAsia="zh-CN"/>
        </w:rPr>
        <w:t>人员经费用途主要包括</w:t>
      </w:r>
      <w:r>
        <w:rPr>
          <w:rFonts w:hint="eastAsia" w:ascii="仿宋_GB2312" w:hAnsi="仿宋_GB2312" w:eastAsia="仿宋_GB2312" w:cs="仿宋_GB2312"/>
          <w:sz w:val="32"/>
          <w:szCs w:val="32"/>
          <w:lang w:val="en-US" w:eastAsia="zh-CN"/>
        </w:rPr>
        <w:t>退休人员工资98.84万元，医疗补助费3.78万元。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公用经费</w:t>
      </w:r>
      <w:r>
        <w:rPr>
          <w:rFonts w:hint="eastAsia" w:ascii="仿宋_GB2312" w:hAnsi="仿宋_GB2312" w:eastAsia="仿宋_GB2312" w:cs="仿宋_GB2312"/>
          <w:sz w:val="32"/>
          <w:szCs w:val="32"/>
          <w:lang w:val="zh-CN" w:eastAsia="zh-CN"/>
        </w:rPr>
        <w:t>0.75万元,较上年决算数减少0.61万元,下降44.85%,主要原因是：</w:t>
      </w:r>
      <w:r>
        <w:rPr>
          <w:rFonts w:hint="eastAsia" w:ascii="仿宋_GB2312" w:hAnsi="仿宋_GB2312" w:eastAsia="仿宋_GB2312" w:cs="仿宋_GB2312"/>
          <w:sz w:val="32"/>
          <w:szCs w:val="32"/>
          <w:lang w:val="en-US" w:eastAsia="zh-CN"/>
        </w:rPr>
        <w:t>由于本单位人员减少，因此相应的经费随之减少。</w:t>
      </w:r>
      <w:r>
        <w:rPr>
          <w:rFonts w:hint="eastAsia" w:ascii="仿宋_GB2312" w:hAnsi="仿宋_GB2312" w:eastAsia="仿宋_GB2312" w:cs="仿宋_GB2312"/>
          <w:sz w:val="32"/>
          <w:szCs w:val="32"/>
          <w:lang w:val="zh-CN" w:eastAsia="zh-CN"/>
        </w:rPr>
        <w:t>公用经费用途主要包括</w:t>
      </w:r>
      <w:r>
        <w:rPr>
          <w:rFonts w:hint="eastAsia" w:ascii="仿宋_GB2312" w:hAnsi="仿宋_GB2312" w:eastAsia="仿宋_GB2312" w:cs="仿宋_GB2312"/>
          <w:sz w:val="32"/>
          <w:szCs w:val="32"/>
          <w:lang w:val="en-US" w:eastAsia="zh-CN"/>
        </w:rPr>
        <w:t>其他商品和服务支出0.75万元</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lang w:val="zh-CN"/>
        </w:rPr>
      </w:pPr>
      <w:r>
        <w:rPr>
          <w:rFonts w:hint="eastAsia" w:ascii="黑体" w:hAnsi="黑体" w:eastAsia="黑体" w:cs="黑体"/>
          <w:sz w:val="32"/>
          <w:szCs w:val="32"/>
        </w:rPr>
        <w:t>七</w:t>
      </w:r>
      <w:r>
        <w:rPr>
          <w:rFonts w:hint="eastAsia" w:ascii="黑体" w:hAnsi="黑体" w:eastAsia="黑体" w:cs="黑体"/>
          <w:sz w:val="32"/>
          <w:szCs w:val="32"/>
          <w:lang w:val="zh-CN"/>
        </w:rPr>
        <w:t>、机关运行经费支出情况说明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我单位2022年度无机关运行相关经费。</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八</w:t>
      </w:r>
      <w:r>
        <w:rPr>
          <w:rFonts w:hint="eastAsia" w:ascii="黑体" w:hAnsi="黑体" w:eastAsia="黑体" w:cs="黑体"/>
          <w:b w:val="0"/>
          <w:bCs w:val="0"/>
          <w:color w:val="auto"/>
          <w:sz w:val="32"/>
          <w:szCs w:val="32"/>
          <w:lang w:val="zh-CN"/>
        </w:rPr>
        <w:t>、政府采购支出情况说明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我单位2022年度无政府采购相关经费。</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rPr>
        <w:t>九</w:t>
      </w:r>
      <w:r>
        <w:rPr>
          <w:rFonts w:hint="eastAsia" w:ascii="黑体" w:hAnsi="黑体" w:eastAsia="黑体" w:cs="黑体"/>
          <w:color w:val="auto"/>
          <w:sz w:val="32"/>
          <w:szCs w:val="32"/>
          <w:lang w:val="zh-CN"/>
        </w:rPr>
        <w:t>、国有资产占用情况说明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截至2022年12月31日,本部门共有车辆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辆。</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十、政府性基金预算财政拨款收支决算情况说明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本部门2022年度无政府性基金收入,也没有使用政府性基金安排的支出。</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lang w:val="zh-CN"/>
        </w:rPr>
        <w:t>十</w:t>
      </w:r>
      <w:r>
        <w:rPr>
          <w:rFonts w:hint="eastAsia" w:ascii="黑体" w:hAnsi="黑体" w:eastAsia="黑体" w:cs="黑体"/>
          <w:color w:val="auto"/>
          <w:sz w:val="32"/>
          <w:szCs w:val="32"/>
        </w:rPr>
        <w:t>一</w:t>
      </w:r>
      <w:r>
        <w:rPr>
          <w:rFonts w:hint="eastAsia" w:ascii="黑体" w:hAnsi="黑体" w:eastAsia="黑体" w:cs="黑体"/>
          <w:color w:val="auto"/>
          <w:sz w:val="32"/>
          <w:szCs w:val="32"/>
          <w:lang w:val="zh-CN"/>
        </w:rPr>
        <w:t>、国有资本经营预算财政拨款支出情况说明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本部门2022年度没有使用国有资本经营预算安排的支出。</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rPr>
        <w:t>十二</w:t>
      </w:r>
      <w:r>
        <w:rPr>
          <w:rFonts w:hint="eastAsia" w:ascii="黑体" w:hAnsi="黑体" w:eastAsia="黑体" w:cs="黑体"/>
          <w:color w:val="auto"/>
          <w:sz w:val="32"/>
          <w:szCs w:val="32"/>
          <w:lang w:val="zh-CN"/>
        </w:rPr>
        <w:t>、财政拨款“三公”经费支出决算情况说明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我单位</w:t>
      </w:r>
      <w:r>
        <w:rPr>
          <w:rFonts w:hint="eastAsia" w:ascii="仿宋_GB2312" w:hAnsi="仿宋_GB2312" w:eastAsia="仿宋_GB2312" w:cs="仿宋_GB2312"/>
          <w:sz w:val="32"/>
          <w:szCs w:val="32"/>
          <w:lang w:val="en-US" w:eastAsia="zh-CN"/>
        </w:rPr>
        <w:t>性质特殊，人员保持只出不进原则，截止本年由于已无在职人员</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因此</w:t>
      </w:r>
      <w:r>
        <w:rPr>
          <w:rFonts w:hint="eastAsia" w:ascii="仿宋_GB2312" w:hAnsi="仿宋_GB2312" w:eastAsia="仿宋_GB2312" w:cs="仿宋_GB2312"/>
          <w:sz w:val="32"/>
          <w:szCs w:val="32"/>
          <w:lang w:val="zh-CN" w:eastAsia="zh-CN"/>
        </w:rPr>
        <w:t>财政未保障我单位“三公”经费。</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楷体" w:hAnsi="楷体" w:eastAsia="楷体" w:cs="楷体"/>
          <w:sz w:val="32"/>
          <w:szCs w:val="32"/>
          <w:lang w:val="zh-CN"/>
        </w:rPr>
      </w:pPr>
      <w:r>
        <w:rPr>
          <w:rFonts w:hint="eastAsia" w:ascii="楷体" w:hAnsi="楷体" w:eastAsia="楷体" w:cs="楷体"/>
          <w:b/>
          <w:sz w:val="32"/>
          <w:szCs w:val="32"/>
          <w:lang w:val="zh-CN"/>
        </w:rPr>
        <w:t>(一)“三公”经费财政拨款支出总体情况说明</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2022年度“三公”经费支出全年预算数为0.00万元,支出决算为0.00万元。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楷体" w:hAnsi="楷体" w:eastAsia="楷体" w:cs="楷体"/>
          <w:sz w:val="32"/>
          <w:szCs w:val="32"/>
          <w:lang w:val="zh-CN"/>
        </w:rPr>
      </w:pPr>
      <w:r>
        <w:rPr>
          <w:rFonts w:hint="eastAsia" w:ascii="楷体" w:hAnsi="楷体" w:eastAsia="楷体" w:cs="楷体"/>
          <w:b/>
          <w:sz w:val="32"/>
          <w:szCs w:val="32"/>
          <w:lang w:val="zh-CN"/>
        </w:rPr>
        <w:t>(二)“三公”经费财政拨款支出决算具体情况说明</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1.因公出国(境)费用</w:t>
      </w:r>
      <w:r>
        <w:rPr>
          <w:rFonts w:hint="eastAsia" w:ascii="仿宋_GB2312" w:hAnsi="仿宋_GB2312" w:eastAsia="仿宋_GB2312" w:cs="仿宋_GB2312"/>
          <w:sz w:val="32"/>
          <w:szCs w:val="32"/>
          <w:lang w:val="zh-CN" w:eastAsia="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2.公务用车购置及运行维护费</w:t>
      </w:r>
      <w:r>
        <w:rPr>
          <w:rFonts w:hint="eastAsia" w:ascii="仿宋_GB2312" w:hAnsi="仿宋_GB2312" w:eastAsia="仿宋_GB2312" w:cs="仿宋_GB2312"/>
          <w:sz w:val="32"/>
          <w:szCs w:val="32"/>
          <w:lang w:val="zh-CN" w:eastAsia="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其中：公务用车购置费</w:t>
      </w:r>
      <w:r>
        <w:rPr>
          <w:rFonts w:hint="eastAsia" w:ascii="仿宋_GB2312" w:hAnsi="仿宋_GB2312" w:eastAsia="仿宋_GB2312" w:cs="仿宋_GB2312"/>
          <w:sz w:val="32"/>
          <w:szCs w:val="32"/>
          <w:lang w:val="zh-CN" w:eastAsia="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公务用车运行维护费</w:t>
      </w:r>
      <w:r>
        <w:rPr>
          <w:rFonts w:hint="eastAsia" w:ascii="仿宋_GB2312" w:hAnsi="仿宋_GB2312" w:eastAsia="仿宋_GB2312" w:cs="仿宋_GB2312"/>
          <w:sz w:val="32"/>
          <w:szCs w:val="32"/>
          <w:lang w:val="zh-CN" w:eastAsia="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3.公务接待费</w:t>
      </w:r>
      <w:r>
        <w:rPr>
          <w:rFonts w:hint="eastAsia" w:ascii="仿宋_GB2312" w:hAnsi="仿宋_GB2312" w:eastAsia="仿宋_GB2312" w:cs="仿宋_GB2312"/>
          <w:sz w:val="32"/>
          <w:szCs w:val="32"/>
          <w:lang w:val="zh-CN" w:eastAsia="zh-CN"/>
        </w:rPr>
        <w:t>全年预算数为0.00万元,支出决算为0.00万元。</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rPr>
          <w:rFonts w:hint="eastAsia" w:ascii="楷体" w:hAnsi="楷体" w:eastAsia="楷体" w:cs="楷体"/>
          <w:sz w:val="32"/>
          <w:szCs w:val="32"/>
          <w:lang w:val="zh-CN"/>
        </w:rPr>
      </w:pPr>
      <w:r>
        <w:rPr>
          <w:rFonts w:hint="eastAsia" w:ascii="楷体" w:hAnsi="楷体" w:eastAsia="楷体" w:cs="楷体"/>
          <w:b/>
          <w:sz w:val="32"/>
          <w:szCs w:val="32"/>
          <w:lang w:val="zh-CN"/>
        </w:rPr>
        <w:t>(三)“三公”经费财政拨款支出决算实物量情况</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2022年度本部门</w:t>
      </w:r>
      <w:r>
        <w:rPr>
          <w:rFonts w:hint="eastAsia" w:ascii="仿宋_GB2312" w:hAnsi="仿宋_GB2312" w:eastAsia="仿宋_GB2312" w:cs="仿宋_GB2312"/>
          <w:b/>
          <w:bCs/>
          <w:sz w:val="32"/>
          <w:szCs w:val="32"/>
          <w:lang w:val="zh-CN" w:eastAsia="zh-CN"/>
        </w:rPr>
        <w:t>因公出国(境)</w:t>
      </w:r>
      <w:r>
        <w:rPr>
          <w:rFonts w:hint="eastAsia" w:ascii="仿宋_GB2312" w:hAnsi="仿宋_GB2312" w:eastAsia="仿宋_GB2312" w:cs="仿宋_GB2312"/>
          <w:sz w:val="32"/>
          <w:szCs w:val="32"/>
          <w:lang w:val="zh-CN" w:eastAsia="zh-CN"/>
        </w:rPr>
        <w:t>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个团组；</w:t>
      </w:r>
      <w:r>
        <w:rPr>
          <w:rFonts w:hint="eastAsia" w:ascii="仿宋_GB2312" w:hAnsi="仿宋_GB2312" w:eastAsia="仿宋_GB2312" w:cs="仿宋_GB2312"/>
          <w:b/>
          <w:bCs/>
          <w:sz w:val="32"/>
          <w:szCs w:val="32"/>
          <w:lang w:val="zh-CN" w:eastAsia="zh-CN"/>
        </w:rPr>
        <w:t>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辆,</w:t>
      </w:r>
      <w:r>
        <w:rPr>
          <w:rFonts w:hint="eastAsia" w:ascii="仿宋_GB2312" w:hAnsi="仿宋_GB2312" w:eastAsia="仿宋_GB2312" w:cs="仿宋_GB2312"/>
          <w:b/>
          <w:bCs/>
          <w:sz w:val="32"/>
          <w:szCs w:val="32"/>
          <w:lang w:val="zh-CN" w:eastAsia="zh-CN"/>
        </w:rPr>
        <w:t>公务用车保有量</w:t>
      </w:r>
      <w:r>
        <w:rPr>
          <w:rFonts w:hint="eastAsia"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辆；</w:t>
      </w:r>
      <w:r>
        <w:rPr>
          <w:rFonts w:hint="eastAsia" w:ascii="仿宋_GB2312" w:hAnsi="仿宋_GB2312" w:eastAsia="仿宋_GB2312" w:cs="仿宋_GB2312"/>
          <w:b/>
          <w:bCs/>
          <w:sz w:val="32"/>
          <w:szCs w:val="32"/>
          <w:lang w:val="zh-CN" w:eastAsia="zh-CN"/>
        </w:rPr>
        <w:t>国内公务接待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批次,其中：</w:t>
      </w:r>
      <w:r>
        <w:rPr>
          <w:rFonts w:hint="eastAsia" w:ascii="仿宋_GB2312" w:hAnsi="仿宋_GB2312" w:eastAsia="仿宋_GB2312" w:cs="仿宋_GB2312"/>
          <w:b/>
          <w:bCs/>
          <w:sz w:val="32"/>
          <w:szCs w:val="32"/>
          <w:lang w:val="zh-CN" w:eastAsia="zh-CN"/>
        </w:rPr>
        <w:t>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批次</w:t>
      </w:r>
      <w:r>
        <w:rPr>
          <w:rFonts w:hint="eastAsia" w:ascii="仿宋_GB2312" w:hAnsi="仿宋_GB2312" w:eastAsia="仿宋_GB2312" w:cs="仿宋_GB2312"/>
          <w:b/>
          <w:bCs/>
          <w:sz w:val="32"/>
          <w:szCs w:val="32"/>
          <w:lang w:val="zh-CN" w:eastAsia="zh-CN"/>
        </w:rPr>
        <w:t>；国(境)外公务接待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zh-CN" w:eastAsia="zh-CN"/>
        </w:rPr>
        <w:t>批次。</w:t>
      </w:r>
    </w:p>
    <w:p>
      <w:pPr>
        <w:jc w:val="center"/>
        <w:rPr>
          <w:rFonts w:hint="eastAsia" w:ascii="方正小标宋简体" w:hAnsi="方正小标宋简体" w:eastAsia="方正小标宋简体" w:cs="方正小标宋简体"/>
          <w:b w:val="0"/>
          <w:bCs/>
          <w:sz w:val="32"/>
          <w:szCs w:val="32"/>
          <w:lang w:val="zh-CN"/>
        </w:rPr>
      </w:pPr>
      <w:r>
        <w:rPr>
          <w:rFonts w:hint="eastAsia" w:ascii="方正小标宋简体" w:hAnsi="方正小标宋简体" w:eastAsia="方正小标宋简体" w:cs="方正小标宋简体"/>
          <w:b w:val="0"/>
          <w:bCs/>
          <w:sz w:val="32"/>
          <w:szCs w:val="32"/>
          <w:lang w:val="zh-CN"/>
        </w:rPr>
        <w:t>第四部分预算绩效情况说明</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zh-CN"/>
        </w:rPr>
        <w:t>本单位</w:t>
      </w:r>
      <w:r>
        <w:rPr>
          <w:rFonts w:hint="eastAsia" w:ascii="仿宋_GB2312" w:hAnsi="仿宋_GB2312" w:eastAsia="仿宋_GB2312" w:cs="仿宋_GB2312"/>
          <w:color w:val="000000" w:themeColor="text1"/>
          <w:sz w:val="32"/>
          <w:szCs w:val="32"/>
          <w:lang w:val="en-US" w:eastAsia="zh-CN"/>
        </w:rPr>
        <w:t>预算绩效评价工作由甘肃省农垦事业办公室统一开展。</w:t>
      </w:r>
    </w:p>
    <w:p>
      <w:pPr>
        <w:jc w:val="center"/>
        <w:rPr>
          <w:rFonts w:hint="eastAsia" w:ascii="方正小标宋简体" w:hAnsi="方正小标宋简体" w:eastAsia="方正小标宋简体" w:cs="方正小标宋简体"/>
          <w:b w:val="0"/>
          <w:bCs/>
          <w:sz w:val="32"/>
          <w:szCs w:val="32"/>
          <w:lang w:val="zh-CN"/>
        </w:rPr>
      </w:pPr>
      <w:bookmarkStart w:id="0" w:name="_GoBack"/>
      <w:bookmarkEnd w:id="0"/>
      <w:r>
        <w:rPr>
          <w:rFonts w:hint="eastAsia" w:ascii="方正小标宋简体" w:hAnsi="方正小标宋简体" w:eastAsia="方正小标宋简体" w:cs="方正小标宋简体"/>
          <w:b w:val="0"/>
          <w:bCs/>
          <w:sz w:val="32"/>
          <w:szCs w:val="32"/>
          <w:lang w:val="zh-CN"/>
        </w:rPr>
        <w:t>第五部分名词解释</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一、财政拨款收入：</w:t>
      </w:r>
      <w:r>
        <w:rPr>
          <w:rFonts w:hint="eastAsia" w:ascii="仿宋_GB2312" w:hAnsi="仿宋_GB2312" w:eastAsia="仿宋_GB2312" w:cs="仿宋_GB2312"/>
          <w:color w:val="000000" w:themeColor="text1"/>
          <w:sz w:val="32"/>
          <w:szCs w:val="32"/>
          <w:lang w:val="zh-CN"/>
        </w:rPr>
        <w:t>指本年度从本级财政部门取得的财政拨款,包括一般公共预算财政拨款和政府性基金预算财政拨款。</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二、事业收入：</w:t>
      </w:r>
      <w:r>
        <w:rPr>
          <w:rFonts w:hint="eastAsia" w:ascii="仿宋_GB2312" w:hAnsi="仿宋_GB2312" w:eastAsia="仿宋_GB2312" w:cs="仿宋_GB2312"/>
          <w:color w:val="000000" w:themeColor="text1"/>
          <w:sz w:val="32"/>
          <w:szCs w:val="32"/>
          <w:lang w:val="zh-CN"/>
        </w:rPr>
        <w:t>指事业单位开展专业业务活动及其辅助活动取得的现金流入；事业单位收到的财政专户实际核拨的教育收费等资金在此反映。</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三、经营收入：</w:t>
      </w:r>
      <w:r>
        <w:rPr>
          <w:rFonts w:hint="eastAsia" w:ascii="仿宋_GB2312" w:hAnsi="仿宋_GB2312" w:eastAsia="仿宋_GB2312" w:cs="仿宋_GB2312"/>
          <w:color w:val="000000" w:themeColor="text1"/>
          <w:sz w:val="32"/>
          <w:szCs w:val="32"/>
          <w:lang w:val="zh-CN"/>
        </w:rPr>
        <w:t>指事业单位在专业业务活动及其辅助活动之外开展非独立核算经营活动取得的现金流入。</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四、其他收入：</w:t>
      </w:r>
      <w:r>
        <w:rPr>
          <w:rFonts w:hint="eastAsia" w:ascii="仿宋_GB2312" w:hAnsi="仿宋_GB2312" w:eastAsia="仿宋_GB2312" w:cs="仿宋_GB2312"/>
          <w:color w:val="000000" w:themeColor="text1"/>
          <w:sz w:val="32"/>
          <w:szCs w:val="32"/>
          <w:lang w:val="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五、年初结转和结余：</w:t>
      </w:r>
      <w:r>
        <w:rPr>
          <w:rFonts w:hint="eastAsia" w:ascii="仿宋_GB2312" w:hAnsi="仿宋_GB2312" w:eastAsia="仿宋_GB2312" w:cs="仿宋_GB2312"/>
          <w:color w:val="000000" w:themeColor="text1"/>
          <w:sz w:val="32"/>
          <w:szCs w:val="32"/>
          <w:lang w:val="zh-CN"/>
        </w:rPr>
        <w:t>指单位上年结转本年使用的基本支出结转、项目支出结转和结余、经营结余。</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六、结余分配：</w:t>
      </w:r>
      <w:r>
        <w:rPr>
          <w:rFonts w:hint="eastAsia" w:ascii="仿宋_GB2312" w:hAnsi="仿宋_GB2312" w:eastAsia="仿宋_GB2312" w:cs="仿宋_GB2312"/>
          <w:color w:val="000000" w:themeColor="text1"/>
          <w:sz w:val="32"/>
          <w:szCs w:val="32"/>
          <w:lang w:val="zh-CN"/>
        </w:rPr>
        <w:t>指单位按照国家有关规定,缴纳所得税、提取专用基金、转入事业基金等当年结余的分配情况。</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七、年末结转和结余：</w:t>
      </w:r>
      <w:r>
        <w:rPr>
          <w:rFonts w:hint="eastAsia" w:ascii="仿宋_GB2312" w:hAnsi="仿宋_GB2312" w:eastAsia="仿宋_GB2312" w:cs="仿宋_GB2312"/>
          <w:color w:val="000000" w:themeColor="text1"/>
          <w:sz w:val="32"/>
          <w:szCs w:val="32"/>
          <w:lang w:val="zh-CN"/>
        </w:rPr>
        <w:t>指单位结转下年的基本支出结转、项目支出结转和结余、经营结余。</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八、基本支出：</w:t>
      </w:r>
      <w:r>
        <w:rPr>
          <w:rFonts w:hint="eastAsia" w:ascii="仿宋_GB2312" w:hAnsi="仿宋_GB2312" w:eastAsia="仿宋_GB2312" w:cs="仿宋_GB2312"/>
          <w:color w:val="000000" w:themeColor="text1"/>
          <w:sz w:val="32"/>
          <w:szCs w:val="32"/>
          <w:lang w:val="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九、项目支出：</w:t>
      </w:r>
      <w:r>
        <w:rPr>
          <w:rFonts w:hint="eastAsia" w:ascii="仿宋_GB2312" w:hAnsi="仿宋_GB2312" w:eastAsia="仿宋_GB2312" w:cs="仿宋_GB2312"/>
          <w:color w:val="000000" w:themeColor="text1"/>
          <w:sz w:val="32"/>
          <w:szCs w:val="32"/>
          <w:lang w:val="zh-CN"/>
        </w:rPr>
        <w:t>指在基本支出之外为完成特定行政任务和事业发展目标所发生的支出。</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十、经营支出：</w:t>
      </w:r>
      <w:r>
        <w:rPr>
          <w:rFonts w:hint="eastAsia" w:ascii="仿宋_GB2312" w:hAnsi="仿宋_GB2312" w:eastAsia="仿宋_GB2312" w:cs="仿宋_GB2312"/>
          <w:color w:val="000000" w:themeColor="text1"/>
          <w:sz w:val="32"/>
          <w:szCs w:val="32"/>
          <w:lang w:val="zh-CN"/>
        </w:rPr>
        <w:t>指事业单位在专业业务活动及其辅助活动之外开展非独立核算经营活动发生的支出。</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十一、“三公”经费：</w:t>
      </w:r>
      <w:r>
        <w:rPr>
          <w:rFonts w:hint="eastAsia" w:ascii="仿宋_GB2312" w:hAnsi="仿宋_GB2312" w:eastAsia="仿宋_GB2312" w:cs="仿宋_GB2312"/>
          <w:color w:val="000000" w:themeColor="text1"/>
          <w:sz w:val="32"/>
          <w:szCs w:val="32"/>
          <w:lang w:val="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3" w:firstLine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b/>
          <w:bCs/>
          <w:color w:val="000000" w:themeColor="text1"/>
          <w:sz w:val="32"/>
          <w:szCs w:val="32"/>
          <w:lang w:val="zh-CN"/>
        </w:rPr>
        <w:t>十二、机关运行经费：</w:t>
      </w:r>
      <w:r>
        <w:rPr>
          <w:rFonts w:hint="eastAsia" w:ascii="仿宋_GB2312" w:hAnsi="仿宋_GB2312" w:eastAsia="仿宋_GB2312" w:cs="仿宋_GB2312"/>
          <w:color w:val="000000" w:themeColor="text1"/>
          <w:sz w:val="32"/>
          <w:szCs w:val="32"/>
          <w:lang w:val="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0993E"/>
    <w:multiLevelType w:val="singleLevel"/>
    <w:tmpl w:val="CC30993E"/>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JmNzEwMTg0NDU5ZTUwZDRkNTgzMGExZDFkNDYxYjMifQ=="/>
  </w:docVars>
  <w:rsids>
    <w:rsidRoot w:val="00490E25"/>
    <w:rsid w:val="00255531"/>
    <w:rsid w:val="00490E25"/>
    <w:rsid w:val="00792C63"/>
    <w:rsid w:val="00DA62C1"/>
    <w:rsid w:val="00EF0C21"/>
    <w:rsid w:val="00F243B1"/>
    <w:rsid w:val="016F5316"/>
    <w:rsid w:val="0D5D35F0"/>
    <w:rsid w:val="16F65D9C"/>
    <w:rsid w:val="2A0F72A6"/>
    <w:rsid w:val="2F9F7B5B"/>
    <w:rsid w:val="32620B11"/>
    <w:rsid w:val="3C017F5D"/>
    <w:rsid w:val="3D791C54"/>
    <w:rsid w:val="3E967859"/>
    <w:rsid w:val="41FE17A9"/>
    <w:rsid w:val="441201F0"/>
    <w:rsid w:val="489D335A"/>
    <w:rsid w:val="49D82B91"/>
    <w:rsid w:val="63F143A3"/>
    <w:rsid w:val="736425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0" w:semiHidden="0" w:name="Note Heading" w:locked="1"/>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0" w:semiHidden="0" w:name="HTML Typewriter" w:locked="1"/>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Arial"/>
      <w:kern w:val="2"/>
      <w:sz w:val="21"/>
      <w:szCs w:val="20"/>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Header Char"/>
    <w:basedOn w:val="7"/>
    <w:link w:val="4"/>
    <w:semiHidden/>
    <w:uiPriority w:val="99"/>
    <w:rPr>
      <w:rFonts w:ascii="Calibri" w:hAnsi="Calibri" w:cs="Arial"/>
      <w:sz w:val="18"/>
      <w:szCs w:val="18"/>
    </w:rPr>
  </w:style>
  <w:style w:type="character" w:customStyle="1" w:styleId="9">
    <w:name w:val="Footer Char"/>
    <w:basedOn w:val="7"/>
    <w:link w:val="3"/>
    <w:semiHidden/>
    <w:uiPriority w:val="99"/>
    <w:rPr>
      <w:rFonts w:ascii="Calibri" w:hAnsi="Calibri" w:cs="Arial"/>
      <w:sz w:val="18"/>
      <w:szCs w:val="18"/>
    </w:rPr>
  </w:style>
  <w:style w:type="paragraph" w:customStyle="1" w:styleId="10">
    <w:name w:val="List Paragraph"/>
    <w:basedOn w:val="1"/>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17</Pages>
  <Words>6204</Words>
  <Characters>8403</Characters>
  <Lines>0</Lines>
  <Paragraphs>0</Paragraphs>
  <TotalTime>9</TotalTime>
  <ScaleCrop>false</ScaleCrop>
  <LinksUpToDate>false</LinksUpToDate>
  <CharactersWithSpaces>8771</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2023-08-09T08:14:00Z</dcterms:created>
  <dc:creator>O.L.Problem without you</dc:creator>
  <cp:lastModifiedBy>admin</cp:lastModifiedBy>
  <dcterms:modified xsi:type="dcterms:W3CDTF">2023-08-14T07:25:03Z</dcterms:modified>
  <dc:title>2022年度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E06D266F13EA4024808CEEADBAD91186_11</vt:lpwstr>
  </property>
</Properties>
</file>