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附件1</w:t>
      </w:r>
    </w:p>
    <w:p>
      <w:pPr>
        <w:ind w:firstLine="1280" w:firstLineChars="400"/>
        <w:jc w:val="left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2024年第二批中央农机购置补贴资金拟分配表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36"/>
        <w:gridCol w:w="3040"/>
        <w:gridCol w:w="215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  <w:highlight w:val="yellow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本次分配资金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黑土洼农场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23.358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永昌农场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0.12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西湖农场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6.49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黄羊河集团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67.668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小宛农场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35.17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金昌农场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12.518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条山农工商集团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3.276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亚盛股份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亚盛黄花分公司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9.167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亚盛饮马分公司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5.42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亚盛下河清分公司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9.631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亚盛金塔分公司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29.91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亚盛临泽分公司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5.878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亚盛张掖分公司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33.668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亚盛山丹分公司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33.786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亚盛敦煌分公司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34.31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亚盛勤锋分公司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9.63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总计：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12EC6"/>
    <w:rsid w:val="0E4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2024-07-01T10:55:00Z</dcterms:created>
  <dc:creator>↗調皮搗蛋o(^_^)o</dc:creator>
  <cp:lastModifiedBy>↗調皮搗蛋o(^_^)o</cp:lastModifiedBy>
  <dcterms:modified xsi:type="dcterms:W3CDTF">2024-07-01T10:56:14Z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3C8DE4BA44234FA6B0FCBB540160674E</vt:lpwstr>
  </property>
</Properties>
</file>